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E275C" w:rsidRPr="00897F29" w:rsidRDefault="004E275C" w:rsidP="004E275C">
      <w:pPr>
        <w:spacing w:line="360" w:lineRule="auto"/>
        <w:jc w:val="right"/>
        <w:rPr>
          <w:b/>
          <w:bCs/>
          <w:sz w:val="26"/>
          <w:rtl/>
        </w:rPr>
      </w:pPr>
      <w:bookmarkStart w:id="0" w:name="_GoBack"/>
      <w:bookmarkEnd w:id="0"/>
      <w:r w:rsidRPr="00897F29">
        <w:rPr>
          <w:rFonts w:hint="eastAsia"/>
          <w:b/>
          <w:bCs/>
          <w:sz w:val="26"/>
          <w:rtl/>
        </w:rPr>
        <w:t>מנהל</w:t>
      </w:r>
      <w:r w:rsidRPr="00897F29">
        <w:rPr>
          <w:b/>
          <w:bCs/>
          <w:sz w:val="26"/>
          <w:rtl/>
        </w:rPr>
        <w:t xml:space="preserve"> </w:t>
      </w:r>
      <w:r w:rsidRPr="00897F29">
        <w:rPr>
          <w:rFonts w:hint="eastAsia"/>
          <w:b/>
          <w:bCs/>
          <w:sz w:val="26"/>
          <w:rtl/>
        </w:rPr>
        <w:t>הדלק</w:t>
      </w:r>
    </w:p>
    <w:p w:rsidR="004E275C" w:rsidRDefault="004E275C" w:rsidP="004E275C">
      <w:pPr>
        <w:tabs>
          <w:tab w:val="left" w:pos="7965"/>
        </w:tabs>
        <w:spacing w:line="360" w:lineRule="auto"/>
        <w:jc w:val="center"/>
        <w:rPr>
          <w:sz w:val="26"/>
          <w:rtl/>
        </w:rPr>
      </w:pPr>
      <w:r w:rsidRPr="00897F29">
        <w:rPr>
          <w:rFonts w:hint="eastAsia"/>
          <w:sz w:val="26"/>
          <w:rtl/>
        </w:rPr>
        <w:t>‏‏‏</w:t>
      </w:r>
      <w:r>
        <w:rPr>
          <w:rFonts w:hint="cs"/>
          <w:sz w:val="26"/>
          <w:rtl/>
        </w:rPr>
        <w:t xml:space="preserve">                                                                                                                    </w:t>
      </w:r>
    </w:p>
    <w:p w:rsidR="004E275C" w:rsidRPr="00897F29" w:rsidRDefault="004E275C" w:rsidP="001D2C95">
      <w:pPr>
        <w:tabs>
          <w:tab w:val="left" w:pos="7965"/>
        </w:tabs>
        <w:spacing w:line="360" w:lineRule="auto"/>
        <w:jc w:val="center"/>
        <w:rPr>
          <w:sz w:val="26"/>
          <w:rtl/>
        </w:rPr>
      </w:pPr>
      <w:r>
        <w:rPr>
          <w:rFonts w:hint="cs"/>
          <w:sz w:val="26"/>
          <w:rtl/>
        </w:rPr>
        <w:t xml:space="preserve">                                                                                                                        </w:t>
      </w:r>
      <w:r w:rsidR="001D2C95">
        <w:rPr>
          <w:rFonts w:hint="eastAsia"/>
          <w:sz w:val="26"/>
          <w:rtl/>
        </w:rPr>
        <w:t>‏ט</w:t>
      </w:r>
      <w:r w:rsidR="001D2C95">
        <w:rPr>
          <w:sz w:val="26"/>
          <w:rtl/>
        </w:rPr>
        <w:t>' תמוז, תש"פ</w:t>
      </w:r>
    </w:p>
    <w:p w:rsidR="004E275C" w:rsidRPr="00897F29" w:rsidRDefault="004E275C" w:rsidP="001D2C95">
      <w:pPr>
        <w:spacing w:line="360" w:lineRule="auto"/>
        <w:jc w:val="center"/>
        <w:rPr>
          <w:szCs w:val="24"/>
          <w:rtl/>
        </w:rPr>
      </w:pPr>
      <w:r w:rsidRPr="00897F29">
        <w:rPr>
          <w:rFonts w:hint="eastAsia"/>
          <w:sz w:val="26"/>
          <w:rtl/>
        </w:rPr>
        <w:t>‏</w:t>
      </w:r>
      <w:r>
        <w:rPr>
          <w:rFonts w:hint="cs"/>
          <w:sz w:val="26"/>
          <w:rtl/>
        </w:rPr>
        <w:t xml:space="preserve"> </w:t>
      </w:r>
      <w:r w:rsidRPr="00897F29">
        <w:rPr>
          <w:sz w:val="26"/>
          <w:rtl/>
        </w:rPr>
        <w:t xml:space="preserve">                                                                                                           </w:t>
      </w:r>
      <w:r>
        <w:rPr>
          <w:rFonts w:hint="cs"/>
          <w:sz w:val="26"/>
          <w:rtl/>
        </w:rPr>
        <w:t xml:space="preserve"> </w:t>
      </w:r>
      <w:r w:rsidRPr="00897F29">
        <w:rPr>
          <w:sz w:val="26"/>
          <w:rtl/>
        </w:rPr>
        <w:t xml:space="preserve">  </w:t>
      </w:r>
      <w:r>
        <w:rPr>
          <w:rFonts w:hint="cs"/>
          <w:sz w:val="26"/>
          <w:rtl/>
        </w:rPr>
        <w:t xml:space="preserve">     </w:t>
      </w:r>
      <w:r w:rsidRPr="00897F29">
        <w:rPr>
          <w:sz w:val="26"/>
          <w:rtl/>
        </w:rPr>
        <w:t xml:space="preserve"> </w:t>
      </w:r>
      <w:r w:rsidR="001D2C95">
        <w:rPr>
          <w:rFonts w:hint="cs"/>
          <w:sz w:val="26"/>
          <w:rtl/>
        </w:rPr>
        <w:t xml:space="preserve">        </w:t>
      </w:r>
      <w:r w:rsidRPr="00897F29">
        <w:rPr>
          <w:sz w:val="26"/>
          <w:rtl/>
        </w:rPr>
        <w:t xml:space="preserve"> </w:t>
      </w:r>
      <w:r>
        <w:rPr>
          <w:rFonts w:hint="cs"/>
          <w:sz w:val="26"/>
          <w:rtl/>
        </w:rPr>
        <w:t>1</w:t>
      </w:r>
      <w:r w:rsidRPr="00897F29">
        <w:rPr>
          <w:sz w:val="26"/>
          <w:rtl/>
        </w:rPr>
        <w:t xml:space="preserve"> </w:t>
      </w:r>
      <w:r w:rsidR="001D2C95">
        <w:rPr>
          <w:rFonts w:hint="cs"/>
          <w:sz w:val="26"/>
          <w:rtl/>
        </w:rPr>
        <w:t>יולי</w:t>
      </w:r>
      <w:r w:rsidRPr="00897F29">
        <w:rPr>
          <w:sz w:val="26"/>
          <w:rtl/>
        </w:rPr>
        <w:t xml:space="preserve"> 20</w:t>
      </w:r>
      <w:r>
        <w:rPr>
          <w:rFonts w:hint="cs"/>
          <w:sz w:val="26"/>
          <w:rtl/>
        </w:rPr>
        <w:t>20</w:t>
      </w:r>
    </w:p>
    <w:p w:rsidR="004E275C" w:rsidRDefault="004E275C" w:rsidP="004E275C">
      <w:pPr>
        <w:spacing w:line="360" w:lineRule="auto"/>
        <w:jc w:val="both"/>
        <w:rPr>
          <w:rtl/>
        </w:rPr>
      </w:pPr>
    </w:p>
    <w:p w:rsidR="004E275C" w:rsidRPr="00492473" w:rsidRDefault="004E275C" w:rsidP="001D2C95">
      <w:pPr>
        <w:spacing w:line="360" w:lineRule="auto"/>
        <w:jc w:val="center"/>
        <w:rPr>
          <w:b/>
          <w:bCs/>
          <w:rtl/>
        </w:rPr>
      </w:pPr>
      <w:r w:rsidRPr="00492473">
        <w:rPr>
          <w:rFonts w:hint="cs"/>
          <w:b/>
          <w:bCs/>
          <w:rtl/>
        </w:rPr>
        <w:t xml:space="preserve">הנדון: </w:t>
      </w:r>
      <w:r w:rsidR="001D2C95">
        <w:rPr>
          <w:rFonts w:hint="cs"/>
          <w:b/>
          <w:bCs/>
          <w:u w:val="single"/>
          <w:rtl/>
        </w:rPr>
        <w:t>תשובות סבב שני ל</w:t>
      </w:r>
      <w:r>
        <w:rPr>
          <w:rFonts w:hint="cs"/>
          <w:b/>
          <w:bCs/>
          <w:u w:val="single"/>
          <w:rtl/>
        </w:rPr>
        <w:t xml:space="preserve">שאלות במסגרת מכרז 91/2019 </w:t>
      </w:r>
      <w:r w:rsidRPr="000274C2">
        <w:rPr>
          <w:rFonts w:hint="cs"/>
          <w:b/>
          <w:bCs/>
          <w:u w:val="single"/>
          <w:rtl/>
        </w:rPr>
        <w:t>להקמת מתקן אחסון גפ"מ, רכישת גפ"מ ואחסונו</w:t>
      </w:r>
    </w:p>
    <w:p w:rsidR="004E275C" w:rsidRDefault="004E275C" w:rsidP="004E275C">
      <w:pPr>
        <w:spacing w:line="360" w:lineRule="auto"/>
        <w:jc w:val="both"/>
        <w:rPr>
          <w:rtl/>
        </w:rPr>
      </w:pPr>
    </w:p>
    <w:p w:rsidR="004E275C" w:rsidRPr="0014337A" w:rsidRDefault="004E275C" w:rsidP="004E275C">
      <w:pPr>
        <w:spacing w:line="360" w:lineRule="auto"/>
        <w:jc w:val="both"/>
      </w:pPr>
      <w:r w:rsidRPr="009D2686">
        <w:rPr>
          <w:rtl/>
        </w:rPr>
        <w:t>המשרד</w:t>
      </w:r>
      <w:r w:rsidRPr="009D2686">
        <w:t xml:space="preserve"> </w:t>
      </w:r>
      <w:r w:rsidRPr="009D2686">
        <w:rPr>
          <w:rtl/>
        </w:rPr>
        <w:t>מתכבד</w:t>
      </w:r>
      <w:r w:rsidRPr="009D2686">
        <w:t xml:space="preserve"> </w:t>
      </w:r>
      <w:r w:rsidRPr="009D2686">
        <w:rPr>
          <w:rtl/>
        </w:rPr>
        <w:t>להשיב</w:t>
      </w:r>
      <w:r w:rsidRPr="009D2686">
        <w:t xml:space="preserve"> </w:t>
      </w:r>
      <w:r w:rsidRPr="009D2686">
        <w:rPr>
          <w:rtl/>
        </w:rPr>
        <w:t>לשאלות</w:t>
      </w:r>
      <w:r w:rsidRPr="009D2686">
        <w:t xml:space="preserve"> </w:t>
      </w:r>
      <w:r w:rsidRPr="009D2686">
        <w:rPr>
          <w:rtl/>
        </w:rPr>
        <w:t>שהוגשו</w:t>
      </w:r>
      <w:r w:rsidRPr="009D2686">
        <w:t xml:space="preserve"> </w:t>
      </w:r>
      <w:r w:rsidRPr="009D2686">
        <w:rPr>
          <w:rtl/>
        </w:rPr>
        <w:t>במסגרת</w:t>
      </w:r>
      <w:r w:rsidRPr="009D2686">
        <w:t xml:space="preserve"> </w:t>
      </w:r>
      <w:r w:rsidRPr="009D2686">
        <w:rPr>
          <w:rtl/>
        </w:rPr>
        <w:t>המכרז</w:t>
      </w:r>
      <w:r w:rsidRPr="009D2686">
        <w:t xml:space="preserve"> </w:t>
      </w:r>
      <w:r w:rsidRPr="009D2686">
        <w:rPr>
          <w:rtl/>
        </w:rPr>
        <w:t>שבנדון</w:t>
      </w:r>
      <w:r>
        <w:rPr>
          <w:rFonts w:hint="cs"/>
          <w:rtl/>
        </w:rPr>
        <w:t>:</w:t>
      </w:r>
      <w:r w:rsidRPr="0014337A">
        <w:t xml:space="preserve"> </w:t>
      </w:r>
    </w:p>
    <w:p w:rsidR="00ED1728" w:rsidRDefault="00ED1728">
      <w:pPr>
        <w:rPr>
          <w:rtl/>
        </w:rPr>
      </w:pPr>
    </w:p>
    <w:tbl>
      <w:tblPr>
        <w:bidiVisual/>
        <w:tblW w:w="9505" w:type="dxa"/>
        <w:tblInd w:w="-381" w:type="dxa"/>
        <w:tblLook w:val="04A0" w:firstRow="1" w:lastRow="0" w:firstColumn="1" w:lastColumn="0" w:noHBand="0" w:noVBand="1"/>
      </w:tblPr>
      <w:tblGrid>
        <w:gridCol w:w="628"/>
        <w:gridCol w:w="1069"/>
        <w:gridCol w:w="1307"/>
        <w:gridCol w:w="4111"/>
        <w:gridCol w:w="2390"/>
      </w:tblGrid>
      <w:tr w:rsidR="008D729A" w:rsidRPr="00ED1728" w:rsidTr="008D729A">
        <w:trPr>
          <w:trHeight w:val="873"/>
          <w:tblHeader/>
        </w:trPr>
        <w:tc>
          <w:tcPr>
            <w:tcW w:w="628" w:type="dxa"/>
            <w:tcBorders>
              <w:top w:val="single" w:sz="4" w:space="0" w:color="auto"/>
              <w:left w:val="single" w:sz="8" w:space="0" w:color="auto"/>
              <w:bottom w:val="single" w:sz="4" w:space="0" w:color="auto"/>
              <w:right w:val="single" w:sz="4" w:space="0" w:color="auto"/>
            </w:tcBorders>
            <w:shd w:val="clear" w:color="000000" w:fill="CCFFFF"/>
            <w:vAlign w:val="center"/>
            <w:hideMark/>
          </w:tcPr>
          <w:p w:rsidR="00ED1728" w:rsidRPr="00ED1728" w:rsidRDefault="008D729A" w:rsidP="008D729A">
            <w:pPr>
              <w:jc w:val="center"/>
              <w:rPr>
                <w:rFonts w:ascii="David" w:hAnsi="David"/>
                <w:b/>
                <w:bCs/>
                <w:color w:val="000000"/>
                <w:sz w:val="28"/>
                <w:szCs w:val="28"/>
              </w:rPr>
            </w:pPr>
            <w:r>
              <w:rPr>
                <w:rFonts w:ascii="David" w:hAnsi="David"/>
                <w:b/>
                <w:bCs/>
                <w:color w:val="000000"/>
                <w:sz w:val="28"/>
                <w:szCs w:val="28"/>
                <w:rtl/>
              </w:rPr>
              <w:t>מס'</w:t>
            </w:r>
          </w:p>
        </w:tc>
        <w:tc>
          <w:tcPr>
            <w:tcW w:w="1069" w:type="dxa"/>
            <w:tcBorders>
              <w:top w:val="single" w:sz="4" w:space="0" w:color="auto"/>
              <w:left w:val="single" w:sz="4" w:space="0" w:color="auto"/>
              <w:bottom w:val="single" w:sz="4" w:space="0" w:color="auto"/>
              <w:right w:val="single" w:sz="4" w:space="0" w:color="auto"/>
            </w:tcBorders>
            <w:shd w:val="clear" w:color="000000" w:fill="CCFFFF"/>
            <w:vAlign w:val="center"/>
            <w:hideMark/>
          </w:tcPr>
          <w:p w:rsidR="00ED1728" w:rsidRPr="00ED1728" w:rsidRDefault="00ED1728" w:rsidP="00ED1728">
            <w:pPr>
              <w:jc w:val="center"/>
              <w:rPr>
                <w:rFonts w:ascii="David" w:hAnsi="David"/>
                <w:b/>
                <w:bCs/>
                <w:color w:val="000000"/>
                <w:sz w:val="28"/>
                <w:szCs w:val="28"/>
                <w:rtl/>
              </w:rPr>
            </w:pPr>
            <w:r w:rsidRPr="00ED1728">
              <w:rPr>
                <w:rFonts w:ascii="David" w:hAnsi="David"/>
                <w:b/>
                <w:bCs/>
                <w:color w:val="000000"/>
                <w:sz w:val="28"/>
                <w:szCs w:val="28"/>
                <w:rtl/>
              </w:rPr>
              <w:t>עמ' במסמכי המכרז</w:t>
            </w:r>
          </w:p>
        </w:tc>
        <w:tc>
          <w:tcPr>
            <w:tcW w:w="1307" w:type="dxa"/>
            <w:tcBorders>
              <w:top w:val="single" w:sz="4" w:space="0" w:color="auto"/>
              <w:left w:val="single" w:sz="4" w:space="0" w:color="auto"/>
              <w:bottom w:val="single" w:sz="4" w:space="0" w:color="auto"/>
              <w:right w:val="single" w:sz="4" w:space="0" w:color="auto"/>
            </w:tcBorders>
            <w:shd w:val="clear" w:color="000000" w:fill="CCFFFF"/>
            <w:vAlign w:val="center"/>
            <w:hideMark/>
          </w:tcPr>
          <w:p w:rsidR="00ED1728" w:rsidRPr="00ED1728" w:rsidRDefault="00ED1728" w:rsidP="00ED1728">
            <w:pPr>
              <w:jc w:val="center"/>
              <w:rPr>
                <w:rFonts w:ascii="David" w:hAnsi="David"/>
                <w:b/>
                <w:bCs/>
                <w:color w:val="000000"/>
                <w:sz w:val="28"/>
                <w:szCs w:val="28"/>
                <w:rtl/>
              </w:rPr>
            </w:pPr>
            <w:r w:rsidRPr="00ED1728">
              <w:rPr>
                <w:rFonts w:ascii="David" w:hAnsi="David"/>
                <w:b/>
                <w:bCs/>
                <w:color w:val="000000"/>
                <w:sz w:val="28"/>
                <w:szCs w:val="28"/>
                <w:rtl/>
              </w:rPr>
              <w:t>מס' סעיף</w:t>
            </w:r>
          </w:p>
        </w:tc>
        <w:tc>
          <w:tcPr>
            <w:tcW w:w="4111" w:type="dxa"/>
            <w:tcBorders>
              <w:top w:val="single" w:sz="4" w:space="0" w:color="auto"/>
              <w:left w:val="single" w:sz="4" w:space="0" w:color="auto"/>
              <w:bottom w:val="single" w:sz="4" w:space="0" w:color="auto"/>
              <w:right w:val="single" w:sz="4" w:space="0" w:color="auto"/>
            </w:tcBorders>
            <w:shd w:val="clear" w:color="000000" w:fill="CCFFFF"/>
            <w:vAlign w:val="center"/>
            <w:hideMark/>
          </w:tcPr>
          <w:p w:rsidR="00ED1728" w:rsidRPr="00ED1728" w:rsidRDefault="00ED1728" w:rsidP="00ED1728">
            <w:pPr>
              <w:jc w:val="center"/>
              <w:rPr>
                <w:rFonts w:ascii="David" w:hAnsi="David"/>
                <w:b/>
                <w:bCs/>
                <w:color w:val="000000"/>
                <w:sz w:val="28"/>
                <w:szCs w:val="28"/>
                <w:rtl/>
              </w:rPr>
            </w:pPr>
            <w:r w:rsidRPr="00ED1728">
              <w:rPr>
                <w:rFonts w:ascii="David" w:hAnsi="David"/>
                <w:b/>
                <w:bCs/>
                <w:color w:val="000000"/>
                <w:sz w:val="28"/>
                <w:szCs w:val="28"/>
                <w:rtl/>
              </w:rPr>
              <w:t>פירוט השאלה / בקשת ההבהרה</w:t>
            </w:r>
          </w:p>
        </w:tc>
        <w:tc>
          <w:tcPr>
            <w:tcW w:w="2390" w:type="dxa"/>
            <w:tcBorders>
              <w:top w:val="single" w:sz="4" w:space="0" w:color="auto"/>
              <w:left w:val="single" w:sz="4" w:space="0" w:color="auto"/>
              <w:bottom w:val="single" w:sz="4" w:space="0" w:color="auto"/>
              <w:right w:val="single" w:sz="8" w:space="0" w:color="auto"/>
            </w:tcBorders>
            <w:shd w:val="clear" w:color="000000" w:fill="CCFFFF"/>
            <w:vAlign w:val="center"/>
            <w:hideMark/>
          </w:tcPr>
          <w:p w:rsidR="00ED1728" w:rsidRPr="00ED1728" w:rsidRDefault="00ED1728" w:rsidP="00ED1728">
            <w:pPr>
              <w:jc w:val="center"/>
              <w:rPr>
                <w:rFonts w:ascii="David" w:hAnsi="David"/>
                <w:b/>
                <w:bCs/>
                <w:color w:val="000000"/>
                <w:sz w:val="28"/>
                <w:szCs w:val="28"/>
                <w:rtl/>
              </w:rPr>
            </w:pPr>
            <w:r w:rsidRPr="00ED1728">
              <w:rPr>
                <w:rFonts w:ascii="David" w:hAnsi="David"/>
                <w:b/>
                <w:bCs/>
                <w:color w:val="000000"/>
                <w:sz w:val="28"/>
                <w:szCs w:val="28"/>
                <w:rtl/>
              </w:rPr>
              <w:t>תשובות הבהרה סבב שני</w:t>
            </w:r>
          </w:p>
        </w:tc>
      </w:tr>
      <w:tr w:rsidR="008D729A" w:rsidRPr="00ED1728" w:rsidTr="008D729A">
        <w:trPr>
          <w:trHeight w:val="4231"/>
        </w:trPr>
        <w:tc>
          <w:tcPr>
            <w:tcW w:w="628" w:type="dxa"/>
            <w:tcBorders>
              <w:top w:val="nil"/>
              <w:left w:val="single" w:sz="8"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1</w:t>
            </w:r>
          </w:p>
        </w:tc>
        <w:tc>
          <w:tcPr>
            <w:tcW w:w="1069"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2, 14, 21, 22, 32</w:t>
            </w:r>
          </w:p>
        </w:tc>
        <w:tc>
          <w:tcPr>
            <w:tcW w:w="1307"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1.3.1, 1.4, 1.5 למכרז, 1.2, 5, 12.1, 1.3, 11.2.1, 12.1 למפרט המקצועי, סעיף 2 להסכם</w:t>
            </w:r>
          </w:p>
        </w:tc>
        <w:tc>
          <w:tcPr>
            <w:tcW w:w="4111"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rPr>
                <w:rFonts w:ascii="David" w:hAnsi="David"/>
                <w:color w:val="000000"/>
                <w:szCs w:val="24"/>
                <w:rtl/>
              </w:rPr>
            </w:pPr>
            <w:r w:rsidRPr="00ED1728">
              <w:rPr>
                <w:rFonts w:ascii="David" w:hAnsi="David"/>
                <w:color w:val="000000"/>
                <w:szCs w:val="24"/>
                <w:rtl/>
              </w:rPr>
              <w:t xml:space="preserve">א. נבקש שוב להבהיר כי על פי יתרת היקף האחסון המותרת בהתאם לנספח הבינוי לתמ"א 32/1 ובהתבסס על תקנים המקובלים החברה יכולה לבנות 14 מכלי גפ"מ בנפח של 1,500 קוב כ"א ומילוי מקסימלי בשיעור של 90%, כך שסך המשקל הכולל לאחסון הינו כ- 10,000 טון נטו. לחברה יש זכות ל-10,000 טון נפח אחסון על פי אישורים שניתנו לה לפני שנים רבות, עוד לפני תמ"א 32/1 ואין לכלול נפח זה בנפח שניתן לבנות על פי המכרז הנוכחי. לפיכך, נבקשכם לשנות את ההגדרות במכרז כך שיתאפשר לנו להגיש הצעה שתעמוד בתנאי הסף. </w:t>
            </w:r>
            <w:r w:rsidRPr="00ED1728">
              <w:rPr>
                <w:rFonts w:ascii="David" w:hAnsi="David"/>
                <w:color w:val="000000"/>
                <w:szCs w:val="24"/>
                <w:rtl/>
              </w:rPr>
              <w:br/>
              <w:t xml:space="preserve">ב. לאור התשובה שניתנה, אנא אשרו שהחברה תידרש לספק שירותי ניפוק רק במידה והמתקנים הקיימים יוכלו לספק את השירות המבוקש ולא תוטל על החברה כל חובה להשקיע במתקנים קיימים כדי להתאימם למתן שירותי ניפוק נוספים. </w:t>
            </w:r>
          </w:p>
        </w:tc>
        <w:tc>
          <w:tcPr>
            <w:tcW w:w="2390" w:type="dxa"/>
            <w:tcBorders>
              <w:top w:val="nil"/>
              <w:left w:val="single" w:sz="4" w:space="0" w:color="auto"/>
              <w:bottom w:val="single" w:sz="4" w:space="0" w:color="auto"/>
              <w:right w:val="single" w:sz="8"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א. המשרד מבקש כי יוקם מתקן בהיקף שיאפשר אחסנה של 11,000 טון גפ"מ. עם זאת, מציע שמסיבות שונות איננו מסוגל או איננו מעוניין, יכול להציע מתקן לאחסון 10,000 טון גפ"מ לכל הפחות. ראה שינויים בסעיף 1 במסמכי המכרז, בסעיף 1 בנספח א'1 - מפרט מקצועי ובסעיף 2 בנספח ב'.</w:t>
            </w:r>
            <w:r w:rsidRPr="00ED1728">
              <w:rPr>
                <w:rFonts w:ascii="David" w:hAnsi="David"/>
                <w:color w:val="000000"/>
                <w:szCs w:val="24"/>
                <w:rtl/>
              </w:rPr>
              <w:br/>
              <w:t>ב. הדרישות הניפוק מפורטות בסעיף 16 בנספח א'1 - מפרט מקצועי, הכרחיות. באחריות המציע לבחון האם המתקנים הקיימים עומדים בדרישות האמורות. אין שינוי במסמכי המכרז.</w:t>
            </w:r>
          </w:p>
        </w:tc>
      </w:tr>
      <w:tr w:rsidR="008D729A" w:rsidRPr="00ED1728" w:rsidTr="008D729A">
        <w:trPr>
          <w:trHeight w:val="56"/>
        </w:trPr>
        <w:tc>
          <w:tcPr>
            <w:tcW w:w="628" w:type="dxa"/>
            <w:tcBorders>
              <w:top w:val="nil"/>
              <w:left w:val="single" w:sz="8"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2</w:t>
            </w:r>
          </w:p>
        </w:tc>
        <w:tc>
          <w:tcPr>
            <w:tcW w:w="1069"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7, 38, 39, 74, 75</w:t>
            </w:r>
          </w:p>
        </w:tc>
        <w:tc>
          <w:tcPr>
            <w:tcW w:w="1307"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 xml:space="preserve">9.2 למכרז 7 ג' לחוזה, 7ו' </w:t>
            </w:r>
            <w:r w:rsidRPr="00ED1728">
              <w:rPr>
                <w:rFonts w:ascii="David" w:hAnsi="David"/>
                <w:color w:val="000000"/>
                <w:szCs w:val="24"/>
                <w:rtl/>
              </w:rPr>
              <w:lastRenderedPageBreak/>
              <w:t>לחוזה, נספח יט'</w:t>
            </w:r>
          </w:p>
        </w:tc>
        <w:tc>
          <w:tcPr>
            <w:tcW w:w="4111"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rPr>
                <w:rFonts w:ascii="David" w:hAnsi="David"/>
                <w:color w:val="000000"/>
                <w:szCs w:val="24"/>
                <w:rtl/>
              </w:rPr>
            </w:pPr>
            <w:r w:rsidRPr="00ED1728">
              <w:rPr>
                <w:rFonts w:ascii="David" w:hAnsi="David"/>
                <w:color w:val="000000"/>
                <w:szCs w:val="24"/>
                <w:rtl/>
              </w:rPr>
              <w:lastRenderedPageBreak/>
              <w:t xml:space="preserve">ביקשנו כי הצעת המחיר לא תכלול הוצאות נוספות שהחברה תצטרך לשאת בהן במהלך </w:t>
            </w:r>
            <w:r w:rsidRPr="00ED1728">
              <w:rPr>
                <w:rFonts w:ascii="David" w:hAnsi="David"/>
                <w:color w:val="000000"/>
                <w:szCs w:val="24"/>
                <w:rtl/>
              </w:rPr>
              <w:lastRenderedPageBreak/>
              <w:t xml:space="preserve">ועקב הקמת המתקן וזאת כתוצאה מדרישות סטטוטוריות או בשל דרישות נוספות של הרגולטור. המענה שניתן לפיו "תישקל תוספת תמורה" וזאת רק במקרה בו יוכח כי מדובר ב"שינוי מופלה בדין", כמפורט בנספח יט', אינו נותן מענה הולם ואין בו משום להקטין את אי הוודאות והסיכון הבלתי סביר המוטל על המציעים. </w:t>
            </w:r>
            <w:r w:rsidRPr="00ED1728">
              <w:rPr>
                <w:rFonts w:ascii="David" w:hAnsi="David"/>
                <w:color w:val="000000"/>
                <w:szCs w:val="24"/>
                <w:rtl/>
              </w:rPr>
              <w:br/>
              <w:t>לפיכך, נבקש שוב כי יובהר במסמכי המכרז כי המשרד מתחייב לשפות את החברה בגובה ההוצאות כאמור כנגד הצגת אסמכתאות מתאימות בכל במקרה בו יוטלו על החברה הוצאות נוספות כתוצאה מדרישות סטטוטוריות או דרישות נוספות של הרגולטור שלא היו ידועות במועד האחרון להגשת הצעות.</w:t>
            </w:r>
          </w:p>
        </w:tc>
        <w:tc>
          <w:tcPr>
            <w:tcW w:w="2390" w:type="dxa"/>
            <w:tcBorders>
              <w:top w:val="nil"/>
              <w:left w:val="single" w:sz="4" w:space="0" w:color="auto"/>
              <w:bottom w:val="single" w:sz="4" w:space="0" w:color="auto"/>
              <w:right w:val="single" w:sz="8"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lastRenderedPageBreak/>
              <w:t xml:space="preserve">המדינה אינה מגבילה את עצמה ביחס </w:t>
            </w:r>
            <w:r w:rsidRPr="00ED1728">
              <w:rPr>
                <w:rFonts w:ascii="David" w:hAnsi="David"/>
                <w:color w:val="000000"/>
                <w:szCs w:val="24"/>
                <w:rtl/>
              </w:rPr>
              <w:lastRenderedPageBreak/>
              <w:t>לדרישות סטוטוטוריות ו/או רגולטוריות אשר בסמכותה כמדינה להציב. עם זאת, נספח יט' נועד להגן על המציעים מפני שינוי מפלה בדין. הוראות דומות קיימות במכרזים אחרים של המדינה. אין שינוי במסמכי המכרז.</w:t>
            </w:r>
          </w:p>
        </w:tc>
      </w:tr>
      <w:tr w:rsidR="008D729A" w:rsidRPr="00ED1728" w:rsidTr="008D729A">
        <w:trPr>
          <w:trHeight w:val="4213"/>
        </w:trPr>
        <w:tc>
          <w:tcPr>
            <w:tcW w:w="628" w:type="dxa"/>
            <w:tcBorders>
              <w:top w:val="nil"/>
              <w:left w:val="single" w:sz="8"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lastRenderedPageBreak/>
              <w:t>3</w:t>
            </w:r>
          </w:p>
        </w:tc>
        <w:tc>
          <w:tcPr>
            <w:tcW w:w="1069"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8, 14</w:t>
            </w:r>
          </w:p>
        </w:tc>
        <w:tc>
          <w:tcPr>
            <w:tcW w:w="1307"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10.2.3 למכרז, 2.1.4 למפרט המקצועי</w:t>
            </w:r>
          </w:p>
        </w:tc>
        <w:tc>
          <w:tcPr>
            <w:tcW w:w="4111"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rPr>
                <w:rFonts w:ascii="David" w:hAnsi="David"/>
                <w:color w:val="000000"/>
                <w:szCs w:val="24"/>
                <w:rtl/>
              </w:rPr>
            </w:pPr>
            <w:r w:rsidRPr="00ED1728">
              <w:rPr>
                <w:rFonts w:ascii="David" w:hAnsi="David"/>
                <w:color w:val="000000"/>
                <w:szCs w:val="24"/>
                <w:rtl/>
              </w:rPr>
              <w:t xml:space="preserve">המכרז מעניק יתרון בלתי פרופורציונלי לחברה המציעה אתר המאפשר בנייה של מתקן עבור אחסון של 11,000 טון גפ"מ על פני חברה המציעה אתר המאפשר בנייה של מתקן עבור אחסון של 10,000 טון גפ"מ הן בשלב המכרז והן בשלב ביצוע החוזה בלבד שכן הוא לא לוקח בחשבון עלויות קבועות ומשמעותיות כגון עלויות בניית המתקן שלא שונות מהותית בשני המקרים. קרי, להבנתנו, הפחתה ליניארית של כ- 9 מיליון ₪ ממענק במקרה ומדובר במתקן עבור אחסון של 10,000 טון גפ"מ איננה סבירה בעליל ומהווה פגיעה בתחרות שהמכרז מבקש לקדם. </w:t>
            </w:r>
            <w:r w:rsidRPr="00ED1728">
              <w:rPr>
                <w:rFonts w:ascii="David" w:hAnsi="David"/>
                <w:color w:val="000000"/>
                <w:szCs w:val="24"/>
                <w:rtl/>
              </w:rPr>
              <w:br/>
              <w:t xml:space="preserve">לפיכך נבקש שוב לבטל יתרון זה כליל או לקבוע כי המענק שיינתן לחברה המציעה מתקן עבור אחסון של 10,000 טון גפ"מ יהיה זהה וכן כי מחיר המוצע לעניין ההשוואה בין המציעים יהיה זהה אף הוא (לא יוכפל במקדם 1.1.). </w:t>
            </w:r>
          </w:p>
        </w:tc>
        <w:tc>
          <w:tcPr>
            <w:tcW w:w="2390" w:type="dxa"/>
            <w:tcBorders>
              <w:top w:val="nil"/>
              <w:left w:val="single" w:sz="4" w:space="0" w:color="auto"/>
              <w:bottom w:val="single" w:sz="4" w:space="0" w:color="auto"/>
              <w:right w:val="single" w:sz="8"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המדינה החליטה כי נחוץ מתקן בהיקף של 11,000 טון גפ"מ. עם זאת, המדינה מוכנה כי גם אתרים בהם לא ניתן להקים מתקן כאמור יוכלו להתמודד. מתקן בהיקף של 10,000 טון גפ"מ אינו מספק את כל צרכי המדינה, ולכן התמורה שהמדינה מוכנה לשלם לוקחת בחשבון אלמנט זה. ראה עדכון סעיף 10 במסמכי המכרז.</w:t>
            </w:r>
          </w:p>
        </w:tc>
      </w:tr>
      <w:tr w:rsidR="008D729A" w:rsidRPr="00ED1728" w:rsidTr="008D729A">
        <w:trPr>
          <w:trHeight w:val="56"/>
        </w:trPr>
        <w:tc>
          <w:tcPr>
            <w:tcW w:w="628" w:type="dxa"/>
            <w:tcBorders>
              <w:top w:val="nil"/>
              <w:left w:val="single" w:sz="8"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4</w:t>
            </w:r>
          </w:p>
        </w:tc>
        <w:tc>
          <w:tcPr>
            <w:tcW w:w="1069"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8</w:t>
            </w:r>
          </w:p>
        </w:tc>
        <w:tc>
          <w:tcPr>
            <w:tcW w:w="1307"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10.2.4 למכרז</w:t>
            </w:r>
          </w:p>
        </w:tc>
        <w:tc>
          <w:tcPr>
            <w:tcW w:w="4111"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rPr>
                <w:rFonts w:ascii="David" w:hAnsi="David"/>
                <w:color w:val="000000"/>
                <w:szCs w:val="24"/>
                <w:rtl/>
              </w:rPr>
            </w:pPr>
            <w:r w:rsidRPr="00ED1728">
              <w:rPr>
                <w:rFonts w:ascii="David" w:hAnsi="David"/>
                <w:color w:val="000000"/>
                <w:szCs w:val="24"/>
                <w:rtl/>
              </w:rPr>
              <w:t xml:space="preserve">בקשתנו כי יובהר במכרז שהמחיר לטון המוצע בניכוי מענק ההקמה </w:t>
            </w:r>
            <w:r w:rsidRPr="00ED1728">
              <w:rPr>
                <w:rFonts w:ascii="David" w:hAnsi="David"/>
                <w:color w:val="000000"/>
                <w:szCs w:val="24"/>
                <w:u w:val="single"/>
                <w:rtl/>
              </w:rPr>
              <w:t>לא</w:t>
            </w:r>
            <w:r w:rsidRPr="00ED1728">
              <w:rPr>
                <w:rFonts w:ascii="David" w:hAnsi="David"/>
                <w:color w:val="000000"/>
                <w:szCs w:val="24"/>
                <w:rtl/>
              </w:rPr>
              <w:t xml:space="preserve"> יכלול את עלויות רכישת גפ"מ, נדחתה. יודגש שוב כי לאור הסיכון הגלום בתנודתיות במחירי הגפ"מ, שאף מתחדד ביתר שאת לאור משבר הקורונה, לא ניתן ולא סביר בשלב הגשת ההצעות לתמחר או לגדר רכיב זה באופן מושכל. יתרה מזו, גם אחרי הזכייה, בתקופת הרישוי והבנייה, ולאחר מכן בתקופת ההפעלה, מאחר ולא ניתן לדעת מתי תידרש רכישה של גפ"מ, לא ניתן לדעת מהן עלויות הרכישה ולא ניתן לגדר סיכון זה. </w:t>
            </w:r>
            <w:r w:rsidRPr="00ED1728">
              <w:rPr>
                <w:rFonts w:ascii="David" w:hAnsi="David"/>
                <w:color w:val="000000"/>
                <w:szCs w:val="24"/>
                <w:rtl/>
              </w:rPr>
              <w:br/>
              <w:t xml:space="preserve">נבקש שוב שיובהר במכרז כי עורך המכרז ירכוש את הגפ"מ בעצמו או לחלופין יחזיר למציע הזוכה את עלות הרכישה כנגד הצגת </w:t>
            </w:r>
            <w:r w:rsidRPr="00ED1728">
              <w:rPr>
                <w:rFonts w:ascii="David" w:hAnsi="David"/>
                <w:color w:val="000000"/>
                <w:szCs w:val="24"/>
                <w:rtl/>
              </w:rPr>
              <w:lastRenderedPageBreak/>
              <w:t>אסמכתאות וכל זאת בתנאי שהמציעים לא יצטרכו לגלם רכיב זה בהצעתם בשלב הגשת ההצעות במכרז.</w:t>
            </w:r>
          </w:p>
        </w:tc>
        <w:tc>
          <w:tcPr>
            <w:tcW w:w="2390" w:type="dxa"/>
            <w:tcBorders>
              <w:top w:val="nil"/>
              <w:left w:val="single" w:sz="4" w:space="0" w:color="auto"/>
              <w:bottom w:val="single" w:sz="4" w:space="0" w:color="auto"/>
              <w:right w:val="single" w:sz="8"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lastRenderedPageBreak/>
              <w:t>ראה סעיף 7 במסמכי המכרז וסעיף 2 בנספח א'1.</w:t>
            </w:r>
          </w:p>
        </w:tc>
      </w:tr>
      <w:tr w:rsidR="008D729A" w:rsidRPr="00ED1728" w:rsidTr="008D729A">
        <w:trPr>
          <w:trHeight w:val="56"/>
        </w:trPr>
        <w:tc>
          <w:tcPr>
            <w:tcW w:w="628" w:type="dxa"/>
            <w:tcBorders>
              <w:top w:val="nil"/>
              <w:left w:val="single" w:sz="8"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5</w:t>
            </w:r>
          </w:p>
        </w:tc>
        <w:tc>
          <w:tcPr>
            <w:tcW w:w="1069"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15-14</w:t>
            </w:r>
          </w:p>
        </w:tc>
        <w:tc>
          <w:tcPr>
            <w:tcW w:w="1307"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2.1.1 למפרט המקצועי</w:t>
            </w:r>
          </w:p>
        </w:tc>
        <w:tc>
          <w:tcPr>
            <w:tcW w:w="4111"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rPr>
                <w:rFonts w:ascii="David" w:hAnsi="David"/>
                <w:color w:val="000000"/>
                <w:szCs w:val="24"/>
                <w:rtl/>
              </w:rPr>
            </w:pPr>
            <w:r w:rsidRPr="00ED1728">
              <w:rPr>
                <w:rFonts w:ascii="David" w:hAnsi="David"/>
                <w:color w:val="000000"/>
                <w:szCs w:val="24"/>
                <w:rtl/>
              </w:rPr>
              <w:t>בהמשך לתשובה שפורסמה, נבקש כי יובהר כי במידה ובעתיד יפורסם איסור בדין ו/או הוראה רגולטורית או הנחיה כלשהי שתמנע מהחברה לקבל מענק, המשרד ישיב לחברה את כל ההוצאות שהוציאה החברה עד למועד זה וזאת כנגד הצגת אסמכתאות מתאימות</w:t>
            </w:r>
          </w:p>
        </w:tc>
        <w:tc>
          <w:tcPr>
            <w:tcW w:w="2390" w:type="dxa"/>
            <w:tcBorders>
              <w:top w:val="nil"/>
              <w:left w:val="single" w:sz="4" w:space="0" w:color="auto"/>
              <w:bottom w:val="single" w:sz="4" w:space="0" w:color="auto"/>
              <w:right w:val="single" w:sz="8"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במידה והחברה סוברת כי יש שינוי מפלה בדין יכולה לפעול בהתאם לשיקול דעתה בכפוף לתנאי המכרז בנספח יט'.</w:t>
            </w:r>
          </w:p>
        </w:tc>
      </w:tr>
      <w:tr w:rsidR="008D729A" w:rsidRPr="00ED1728" w:rsidTr="008D729A">
        <w:trPr>
          <w:trHeight w:val="2914"/>
        </w:trPr>
        <w:tc>
          <w:tcPr>
            <w:tcW w:w="628" w:type="dxa"/>
            <w:tcBorders>
              <w:top w:val="nil"/>
              <w:left w:val="single" w:sz="8"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6</w:t>
            </w:r>
          </w:p>
        </w:tc>
        <w:tc>
          <w:tcPr>
            <w:tcW w:w="1069"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15-14</w:t>
            </w:r>
          </w:p>
        </w:tc>
        <w:tc>
          <w:tcPr>
            <w:tcW w:w="1307"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2.1.1 למפרט המקצועי</w:t>
            </w:r>
          </w:p>
        </w:tc>
        <w:tc>
          <w:tcPr>
            <w:tcW w:w="4111"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rPr>
                <w:rFonts w:ascii="David" w:hAnsi="David"/>
                <w:color w:val="000000"/>
                <w:szCs w:val="24"/>
                <w:rtl/>
              </w:rPr>
            </w:pPr>
            <w:r w:rsidRPr="00ED1728">
              <w:rPr>
                <w:rFonts w:ascii="David" w:hAnsi="David"/>
                <w:color w:val="000000"/>
                <w:szCs w:val="24"/>
                <w:rtl/>
              </w:rPr>
              <w:t xml:space="preserve">הקביעה שהמענק או חלקו לא יינתן לפני פברואר 2023, מתעלמת מכך שהחברה תידרש להשקיע תשומות רבות החל ממועד הגשת ההצעה במכרז וכלה בגמר בניית המתקן זאת תוך כדי שמוטלים עליו כל הסיכונים האפשריים. </w:t>
            </w:r>
            <w:r w:rsidRPr="00ED1728">
              <w:rPr>
                <w:rFonts w:ascii="David" w:hAnsi="David"/>
                <w:color w:val="000000"/>
                <w:szCs w:val="24"/>
                <w:rtl/>
              </w:rPr>
              <w:br/>
              <w:t>נבקש לשנות ולקבוע מנגנון מתן מענק, כדלקמן:</w:t>
            </w:r>
            <w:r w:rsidRPr="00ED1728">
              <w:rPr>
                <w:rFonts w:ascii="David" w:hAnsi="David"/>
                <w:color w:val="000000"/>
                <w:szCs w:val="24"/>
                <w:rtl/>
              </w:rPr>
              <w:br/>
              <w:t>א. הבטחה כי כלל סכום המענק יינתן לזוכה ללא קביעת תנאים/דרישות נוספות.</w:t>
            </w:r>
            <w:r w:rsidRPr="00ED1728">
              <w:rPr>
                <w:rFonts w:ascii="David" w:hAnsi="David"/>
                <w:color w:val="000000"/>
                <w:szCs w:val="24"/>
                <w:rtl/>
              </w:rPr>
              <w:br/>
              <w:t xml:space="preserve">ב. המענק ישולם לזוכה ב- 3 תשלומים שנתיים שווים  החל מקבלת היתר בנייה סופי ומאושר ממוסד תכנון, ובשים לב להערותינו לעניין לוחות הזמנים להלן. </w:t>
            </w:r>
            <w:r w:rsidRPr="00ED1728">
              <w:rPr>
                <w:rFonts w:ascii="David" w:hAnsi="David"/>
                <w:color w:val="000000"/>
                <w:szCs w:val="24"/>
                <w:rtl/>
              </w:rPr>
              <w:br/>
              <w:t xml:space="preserve">ג. כמו כן, היה והמשרד לא יעמוד בהתחייבויותיו לעיל ולא ישלם את המענק באחת או יותר מאבני הדרך שפורטו לעיל, המענק יישא ריבית פיגורים לפי ריבית פיגורים חשכ"ל הידועה באותה עת. בנוסף, היה ואותו חלק מן המענק לא ישולם בחלוף 30 ימים ומעלה מן המועד הנקוב לעיל, תהיה בכך הפרה יסודית של ההסכם שיאפשר לזוכה לבטל את ההסכם ולקבל סעדים עקב ההפרה.  </w:t>
            </w:r>
          </w:p>
        </w:tc>
        <w:tc>
          <w:tcPr>
            <w:tcW w:w="2390" w:type="dxa"/>
            <w:tcBorders>
              <w:top w:val="nil"/>
              <w:left w:val="single" w:sz="4" w:space="0" w:color="auto"/>
              <w:bottom w:val="single" w:sz="4" w:space="0" w:color="auto"/>
              <w:right w:val="single" w:sz="8"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אין שינוי במסמכי המכרז</w:t>
            </w:r>
          </w:p>
        </w:tc>
      </w:tr>
      <w:tr w:rsidR="008D729A" w:rsidRPr="00ED1728" w:rsidTr="008D729A">
        <w:trPr>
          <w:trHeight w:val="812"/>
        </w:trPr>
        <w:tc>
          <w:tcPr>
            <w:tcW w:w="628" w:type="dxa"/>
            <w:tcBorders>
              <w:top w:val="nil"/>
              <w:left w:val="single" w:sz="8"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7</w:t>
            </w:r>
          </w:p>
        </w:tc>
        <w:tc>
          <w:tcPr>
            <w:tcW w:w="1069"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15</w:t>
            </w:r>
          </w:p>
        </w:tc>
        <w:tc>
          <w:tcPr>
            <w:tcW w:w="1307"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2.1.3 למפרט המקצועי</w:t>
            </w:r>
          </w:p>
        </w:tc>
        <w:tc>
          <w:tcPr>
            <w:tcW w:w="4111"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rPr>
                <w:rFonts w:ascii="David" w:hAnsi="David"/>
                <w:color w:val="000000"/>
                <w:szCs w:val="24"/>
                <w:rtl/>
              </w:rPr>
            </w:pPr>
            <w:r w:rsidRPr="00ED1728">
              <w:rPr>
                <w:rFonts w:ascii="David" w:hAnsi="David"/>
                <w:color w:val="000000"/>
                <w:szCs w:val="24"/>
                <w:rtl/>
              </w:rPr>
              <w:t xml:space="preserve">נבקש לחדד במסמכי המכרז כי החברה תהיה זכאית למענק אם תוכיח קיומו של הסכם ארוך טווח עם רמ"י לתקופה כוללת של 30 שנים שיכלול בתוכו אופציה להארכת הסכם או זכות של החברה לחתום על הסכם כאמור מול רמ"י. </w:t>
            </w:r>
          </w:p>
        </w:tc>
        <w:tc>
          <w:tcPr>
            <w:tcW w:w="2390" w:type="dxa"/>
            <w:tcBorders>
              <w:top w:val="nil"/>
              <w:left w:val="single" w:sz="4" w:space="0" w:color="auto"/>
              <w:bottom w:val="single" w:sz="4" w:space="0" w:color="auto"/>
              <w:right w:val="single" w:sz="8"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תוקן. ראה סעיף 2.1.6 בנספח א'1</w:t>
            </w:r>
          </w:p>
        </w:tc>
      </w:tr>
      <w:tr w:rsidR="008D729A" w:rsidRPr="00ED1728" w:rsidTr="008D729A">
        <w:trPr>
          <w:trHeight w:val="770"/>
        </w:trPr>
        <w:tc>
          <w:tcPr>
            <w:tcW w:w="628" w:type="dxa"/>
            <w:tcBorders>
              <w:top w:val="nil"/>
              <w:left w:val="single" w:sz="8"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8</w:t>
            </w:r>
          </w:p>
        </w:tc>
        <w:tc>
          <w:tcPr>
            <w:tcW w:w="1069"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13, 38</w:t>
            </w:r>
          </w:p>
        </w:tc>
        <w:tc>
          <w:tcPr>
            <w:tcW w:w="1307"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2.1.2 למפרט המקצועי, סעיף 7(ג) ו-(ד) לחוזה</w:t>
            </w:r>
          </w:p>
        </w:tc>
        <w:tc>
          <w:tcPr>
            <w:tcW w:w="4111"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rPr>
                <w:rFonts w:ascii="David" w:hAnsi="David"/>
                <w:color w:val="000000"/>
                <w:szCs w:val="24"/>
                <w:rtl/>
              </w:rPr>
            </w:pPr>
            <w:r w:rsidRPr="00ED1728">
              <w:rPr>
                <w:rFonts w:ascii="David" w:hAnsi="David"/>
                <w:color w:val="000000"/>
                <w:szCs w:val="24"/>
                <w:rtl/>
              </w:rPr>
              <w:t>נבקשכם לקבוע במסמכי המכרז שכל התשלומים  (לרבות המענק) במהלך תקופת ההתקשרות ובתקופת האופציה יהיו צמודים למדד המחירים לצרכן שיתפרסם בכל חודש בחודשו ובכל מקרה לא יפחת מהמחיר המוצע במכרז, שכן אחרת הדבר לא מאפשר לתמחר באופן מושכל ויוצר עיוות בין הכנסות להוצאות.</w:t>
            </w:r>
          </w:p>
        </w:tc>
        <w:tc>
          <w:tcPr>
            <w:tcW w:w="2390" w:type="dxa"/>
            <w:tcBorders>
              <w:top w:val="nil"/>
              <w:left w:val="single" w:sz="4" w:space="0" w:color="auto"/>
              <w:bottom w:val="single" w:sz="4" w:space="0" w:color="auto"/>
              <w:right w:val="single" w:sz="8"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ראה סעיף 7 בנספח ב'</w:t>
            </w:r>
          </w:p>
        </w:tc>
      </w:tr>
      <w:tr w:rsidR="008D729A" w:rsidRPr="00ED1728" w:rsidTr="008D729A">
        <w:trPr>
          <w:trHeight w:val="130"/>
        </w:trPr>
        <w:tc>
          <w:tcPr>
            <w:tcW w:w="628" w:type="dxa"/>
            <w:tcBorders>
              <w:top w:val="nil"/>
              <w:left w:val="single" w:sz="8"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9</w:t>
            </w:r>
          </w:p>
        </w:tc>
        <w:tc>
          <w:tcPr>
            <w:tcW w:w="1069"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15, 39- 40</w:t>
            </w:r>
          </w:p>
        </w:tc>
        <w:tc>
          <w:tcPr>
            <w:tcW w:w="1307"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 xml:space="preserve">4, 5.4, 6.2, 6.5 למפרט המקצועי, 7 </w:t>
            </w:r>
            <w:r w:rsidRPr="00ED1728">
              <w:rPr>
                <w:rFonts w:ascii="David" w:hAnsi="David"/>
                <w:color w:val="000000"/>
                <w:szCs w:val="24"/>
                <w:rtl/>
              </w:rPr>
              <w:lastRenderedPageBreak/>
              <w:t>יא' לחוזה, 7 יב' לחוזה</w:t>
            </w:r>
          </w:p>
        </w:tc>
        <w:tc>
          <w:tcPr>
            <w:tcW w:w="4111"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rPr>
                <w:rFonts w:ascii="David" w:hAnsi="David"/>
                <w:color w:val="000000"/>
                <w:szCs w:val="24"/>
                <w:rtl/>
              </w:rPr>
            </w:pPr>
            <w:r w:rsidRPr="00ED1728">
              <w:rPr>
                <w:rFonts w:ascii="David" w:hAnsi="David"/>
                <w:color w:val="000000"/>
                <w:szCs w:val="24"/>
                <w:rtl/>
              </w:rPr>
              <w:lastRenderedPageBreak/>
              <w:t xml:space="preserve">נדגיש שוב כי לא ברור לנו כלל מדוע יש צורך בחשבון ייעודי. כמו כן, לא סביר שלמשרד תהיה סמכות לעכב משיכות כספים </w:t>
            </w:r>
            <w:r w:rsidRPr="00ED1728">
              <w:rPr>
                <w:rFonts w:ascii="David" w:hAnsi="David"/>
                <w:color w:val="000000"/>
                <w:szCs w:val="24"/>
                <w:rtl/>
              </w:rPr>
              <w:lastRenderedPageBreak/>
              <w:t xml:space="preserve">מהחשבון הייעודי. הסעיף במתכונתו הנוכחית מיותר ומכביד שלא לצורך על הזוכה ולכן מבקשים שתבוטל סמכות זו כליל. </w:t>
            </w:r>
            <w:r w:rsidRPr="00ED1728">
              <w:rPr>
                <w:rFonts w:ascii="David" w:hAnsi="David"/>
                <w:color w:val="000000"/>
                <w:szCs w:val="24"/>
                <w:rtl/>
              </w:rPr>
              <w:br/>
              <w:t xml:space="preserve">לחילופין, נבקשכם לקבוע במסמכי המכרז אבני הדרך ברורים לשחרור הכספים מהחשבון הייעודי. כמו כן, נבקשכם להוסיף כי כל עיכוב תשלום לפי סעיף זה יהיה כפוף רק למקרים בהם החברה הפרה את ההסכם הפרה יסודית ובכפוף למתן התראה מראש ובכתב בת 30 יום ובכפוף לכך שבמהלך התקופה האמורה ניתנה לזוכה הזדמנות הוגנת לתקן את ההפרה והזוכה לא תיקן את ההפרה כאמור. </w:t>
            </w:r>
          </w:p>
        </w:tc>
        <w:tc>
          <w:tcPr>
            <w:tcW w:w="2390" w:type="dxa"/>
            <w:tcBorders>
              <w:top w:val="nil"/>
              <w:left w:val="single" w:sz="4" w:space="0" w:color="auto"/>
              <w:bottom w:val="single" w:sz="4" w:space="0" w:color="auto"/>
              <w:right w:val="single" w:sz="8"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lastRenderedPageBreak/>
              <w:t>אין שינוי במסמכי המכרז</w:t>
            </w:r>
          </w:p>
        </w:tc>
      </w:tr>
      <w:tr w:rsidR="008D729A" w:rsidRPr="00ED1728" w:rsidTr="008D729A">
        <w:trPr>
          <w:trHeight w:val="2242"/>
        </w:trPr>
        <w:tc>
          <w:tcPr>
            <w:tcW w:w="628" w:type="dxa"/>
            <w:tcBorders>
              <w:top w:val="nil"/>
              <w:left w:val="single" w:sz="8"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10</w:t>
            </w:r>
          </w:p>
        </w:tc>
        <w:tc>
          <w:tcPr>
            <w:tcW w:w="1069"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16</w:t>
            </w:r>
          </w:p>
        </w:tc>
        <w:tc>
          <w:tcPr>
            <w:tcW w:w="1307"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7 למפרט המקצועי</w:t>
            </w:r>
          </w:p>
        </w:tc>
        <w:tc>
          <w:tcPr>
            <w:tcW w:w="4111"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rPr>
                <w:rFonts w:ascii="David" w:hAnsi="David"/>
                <w:color w:val="000000"/>
                <w:szCs w:val="24"/>
                <w:rtl/>
              </w:rPr>
            </w:pPr>
            <w:r w:rsidRPr="00ED1728">
              <w:rPr>
                <w:rFonts w:ascii="David" w:hAnsi="David"/>
                <w:color w:val="000000"/>
                <w:szCs w:val="24"/>
                <w:rtl/>
              </w:rPr>
              <w:t xml:space="preserve">א. יובהר שוב כי על מנת להבטיח ניהול יעיל של חוות הגפ"מ, החברה איננה מאפשרת ללקוחותיה להתיר לאחרים שימוש בנפחי אחסון שהועמדו לרשותם. לפיכך, לא סביר כי למנהל תהיה הסמכות להורות לחברה להשכיר נפחי אחסון לאחרים במחירים שייקבעו על ידי המדינה. הדבר עלול להביא לאפליה בין לקוחות ולפגוע קשות ביכולת החברה לנהל את חוות הגפ"מ הקיימת בצורה הוגנת וסבירה.  על כן נבקשכם שוב, למחוק את כל סעיף 7 כליל או לחילופין להגדיר כמות מקסימאלית אותה המנהל יוכל להשכיר כאמור וכן לקבוע במכרז כי במידה ויושכר נפח אחסון נשוא מכרז זה לספקי גפ"מ הזוכה יגבה מהם דמי שכירות בהתאם למחיר שיעמוד על ממוצע משוקלל של דמי השכירות שהזוכה גובה מלקוחותיו עבור שכירות נפח אחסון בכל אתריו בתוספת התשלום החודשי המוצע במכרז ה </w:t>
            </w:r>
            <w:r w:rsidRPr="00ED1728">
              <w:rPr>
                <w:rFonts w:ascii="David" w:hAnsi="David"/>
                <w:color w:val="000000"/>
                <w:szCs w:val="24"/>
              </w:rPr>
              <w:t>(TP)</w:t>
            </w:r>
            <w:r w:rsidRPr="00ED1728">
              <w:rPr>
                <w:rFonts w:ascii="David" w:hAnsi="David"/>
                <w:color w:val="000000"/>
                <w:szCs w:val="24"/>
                <w:rtl/>
              </w:rPr>
              <w:t xml:space="preserve">). </w:t>
            </w:r>
            <w:r w:rsidRPr="00ED1728">
              <w:rPr>
                <w:rFonts w:ascii="David" w:hAnsi="David"/>
                <w:color w:val="000000"/>
                <w:szCs w:val="24"/>
                <w:rtl/>
              </w:rPr>
              <w:br/>
              <w:t>ב. בנוסף, לאור העובדה שהחברה גובה דמי ניטול הכוללים תשלום בגין שירותי פריקה מאניה וטעינה למכליות, נבקשכם שוב לקבוע במסמכי המכרז כי דמי הפריקה הממוצעים המוגדרים במפרט יחושבו באופן הבא: (ממוצע דמי ניטול הנהוגים בחווה פחות ממוצע דמי טעינה למכליות בתוספת שיעור האובדנים הנהוג בחווה.)</w:t>
            </w:r>
          </w:p>
        </w:tc>
        <w:tc>
          <w:tcPr>
            <w:tcW w:w="2390" w:type="dxa"/>
            <w:tcBorders>
              <w:top w:val="nil"/>
              <w:left w:val="single" w:sz="4" w:space="0" w:color="auto"/>
              <w:bottom w:val="single" w:sz="4" w:space="0" w:color="auto"/>
              <w:right w:val="single" w:sz="8"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א. תוקן סעיף 7.1 בנספח א'1 - מפרט מקצועי תוקן כך שהמדינה תוכל להשכיר כמות מקסימלית של 1,000 טון גפ"מ. לגבי המחיר אין שינוי במסמכי המכרז.</w:t>
            </w:r>
            <w:r w:rsidRPr="00ED1728">
              <w:rPr>
                <w:rFonts w:ascii="David" w:hAnsi="David"/>
                <w:color w:val="000000"/>
                <w:szCs w:val="24"/>
                <w:rtl/>
              </w:rPr>
              <w:br/>
              <w:t>ב. סעיף 7.6 בנספח א'1 - מפרט מקצועי תוקן</w:t>
            </w:r>
          </w:p>
        </w:tc>
      </w:tr>
      <w:tr w:rsidR="008D729A" w:rsidRPr="00ED1728" w:rsidTr="008D729A">
        <w:trPr>
          <w:trHeight w:val="2512"/>
        </w:trPr>
        <w:tc>
          <w:tcPr>
            <w:tcW w:w="628" w:type="dxa"/>
            <w:tcBorders>
              <w:top w:val="nil"/>
              <w:left w:val="single" w:sz="8"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lastRenderedPageBreak/>
              <w:t>11</w:t>
            </w:r>
          </w:p>
        </w:tc>
        <w:tc>
          <w:tcPr>
            <w:tcW w:w="1069"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18-17, 34-33</w:t>
            </w:r>
          </w:p>
        </w:tc>
        <w:tc>
          <w:tcPr>
            <w:tcW w:w="1307"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9.3 למפרט המקצועי, 5 ג' להסכם</w:t>
            </w:r>
          </w:p>
        </w:tc>
        <w:tc>
          <w:tcPr>
            <w:tcW w:w="4111"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rPr>
                <w:rFonts w:ascii="David" w:hAnsi="David"/>
                <w:color w:val="000000"/>
                <w:szCs w:val="24"/>
                <w:rtl/>
              </w:rPr>
            </w:pPr>
            <w:r w:rsidRPr="00ED1728">
              <w:rPr>
                <w:rFonts w:ascii="David" w:hAnsi="David"/>
                <w:color w:val="000000"/>
                <w:szCs w:val="24"/>
                <w:rtl/>
              </w:rPr>
              <w:t xml:space="preserve">דרישתכם כי הזוכה יידרש להמציא ערבות תפעול ואחזקה שתהיה בגובה השווה לתשלום החודשי כפול 10,000 כפול 24 הינה דרישה לא סבירה. מדובר בסכום שיכול להגיע לממדים אסטרונומיים. </w:t>
            </w:r>
            <w:r w:rsidRPr="00ED1728">
              <w:rPr>
                <w:rFonts w:ascii="David" w:hAnsi="David"/>
                <w:color w:val="000000"/>
                <w:szCs w:val="24"/>
                <w:rtl/>
              </w:rPr>
              <w:br/>
              <w:t>לפיכך, נבקשך שוב לבטל את הדרישה להפקדת הערבות ע"י החברה כליל.</w:t>
            </w:r>
          </w:p>
        </w:tc>
        <w:tc>
          <w:tcPr>
            <w:tcW w:w="2390" w:type="dxa"/>
            <w:tcBorders>
              <w:top w:val="nil"/>
              <w:left w:val="single" w:sz="4" w:space="0" w:color="auto"/>
              <w:bottom w:val="single" w:sz="4" w:space="0" w:color="auto"/>
              <w:right w:val="single" w:sz="8"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הדרישה לערבות מחוייבת בכל מכרזי המדינה ולכן לא ניתן לבטל דרישה זו. אם זאת, ראו כי בסעיף 9.3.1 תוקן גובה ערבות בסכום השווה למחיר לטון (</w:t>
            </w:r>
            <w:r w:rsidRPr="00ED1728">
              <w:rPr>
                <w:rFonts w:ascii="David" w:hAnsi="David"/>
                <w:color w:val="000000"/>
                <w:szCs w:val="24"/>
              </w:rPr>
              <w:t>TP</w:t>
            </w:r>
            <w:r w:rsidRPr="00ED1728">
              <w:rPr>
                <w:rFonts w:ascii="David" w:hAnsi="David"/>
                <w:color w:val="000000"/>
                <w:szCs w:val="24"/>
                <w:rtl/>
              </w:rPr>
              <w:t>) כפול 10,000 כפול 12 (תמורה שנתית בהנחת אחסון מלא) ולא כפול 24 כפי שציינתם. ובסעיף 9.3.2 לאחר תום שתי השנים הראשונות לשלב התפעול והאחזקה, יהא רשאי הזוכה להקטין את סכום ערבות שלב התפעול והאחזקה, כך שתעמוד על סך השווה למחיר לטון (</w:t>
            </w:r>
            <w:r w:rsidRPr="00ED1728">
              <w:rPr>
                <w:rFonts w:ascii="David" w:hAnsi="David"/>
                <w:color w:val="000000"/>
                <w:szCs w:val="24"/>
              </w:rPr>
              <w:t>TP</w:t>
            </w:r>
            <w:r w:rsidRPr="00ED1728">
              <w:rPr>
                <w:rFonts w:ascii="David" w:hAnsi="David"/>
                <w:color w:val="000000"/>
                <w:szCs w:val="24"/>
                <w:rtl/>
              </w:rPr>
              <w:t>) כפול 10,000 כפול 6 (תמורה חצי שנתית בהנחת אחסון מלא).</w:t>
            </w:r>
          </w:p>
        </w:tc>
      </w:tr>
      <w:tr w:rsidR="008D729A" w:rsidRPr="00ED1728" w:rsidTr="008D729A">
        <w:trPr>
          <w:trHeight w:val="4639"/>
        </w:trPr>
        <w:tc>
          <w:tcPr>
            <w:tcW w:w="628" w:type="dxa"/>
            <w:tcBorders>
              <w:top w:val="nil"/>
              <w:left w:val="single" w:sz="8"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12</w:t>
            </w:r>
          </w:p>
        </w:tc>
        <w:tc>
          <w:tcPr>
            <w:tcW w:w="1069"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20, 28,29</w:t>
            </w:r>
          </w:p>
        </w:tc>
        <w:tc>
          <w:tcPr>
            <w:tcW w:w="1307"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סעיף 10.2.3, סעיף 10.2.4 , סעיף 10.2.5 , סעיף 10.2.6, סעיף 20.2.1 למפרט המקצועי</w:t>
            </w:r>
          </w:p>
        </w:tc>
        <w:tc>
          <w:tcPr>
            <w:tcW w:w="4111"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rPr>
                <w:rFonts w:ascii="David" w:hAnsi="David"/>
                <w:szCs w:val="24"/>
                <w:rtl/>
              </w:rPr>
            </w:pPr>
            <w:r w:rsidRPr="00ED1728">
              <w:rPr>
                <w:rFonts w:ascii="David" w:hAnsi="David"/>
                <w:szCs w:val="24"/>
                <w:rtl/>
              </w:rPr>
              <w:t xml:space="preserve">א. כפי שהובהר קודם, לא הוגן ולא סביר לראות בזוכה כאחראי לעיכובים שאינם מצויים בשליטתו ואף לקבוע מנגנון של קנסות שיוטלו עליו בגין זה. לפיכך, נבקשכם למחוק את סעיפים 10.2.3, 10.2.4,  10.2.6 ולשנות בהתאם את סעיף הקנסות בסעיף 20.2.1 למפרט. </w:t>
            </w:r>
            <w:r w:rsidRPr="00ED1728">
              <w:rPr>
                <w:rFonts w:ascii="David" w:hAnsi="David"/>
                <w:szCs w:val="24"/>
                <w:rtl/>
              </w:rPr>
              <w:br/>
              <w:t xml:space="preserve">ב. כמו כן, מניסיון של החברה בבניית מיכלים, הלו"ז שנקבע לצרכי בנייה אינו ריאלי ולא ישים. לפיכך, נבקשכם למחוק את המלים "בתוך 24 חודשים מקבלת היתר בנייה מהוועדה לתכנון ובניה כאמור בסעיף 10.2.4" המופיעות בסעיף 10.2.5 למפרט המקצועי ובמקומם להכניס את המלים הבאות "תוך 48  חודשים ממועד קבלת היתר בנייה סופי ומאושר ממוסד תכנון".  כמו כן, יש להוסיף לסעיף את האמור כדלקמן: "החברה לא תהא אחראית לכל עיכוב בלו"ז שמקורו בגין גורמים שאינם מצויים בשליטת החברה ו/או אשר יגרם, כתוצאה ממעשה ו/או מחדל של צד שלישי כלשהו. </w:t>
            </w:r>
            <w:r w:rsidRPr="00ED1728">
              <w:rPr>
                <w:rFonts w:ascii="David" w:hAnsi="David"/>
                <w:szCs w:val="24"/>
                <w:rtl/>
              </w:rPr>
              <w:br/>
              <w:t xml:space="preserve">יחד עם זאת, היה ותיווצרנה נסיבות שאינן תלויות בחברה ו/או נסיבות שאין לחברה שליטה עליהן, או היה וייווצר כח עליון הכולל, מבלי לפגוע בכלליות האמור לעיל, מלחמה, גיוס כללי, פעולות איבה, שביתות כלליות בענף הבניה ו/או הקשורות לעבודות נשוא הסכם זה, מחסור כללי בחומרים ו/או </w:t>
            </w:r>
            <w:r w:rsidRPr="00ED1728">
              <w:rPr>
                <w:rFonts w:ascii="David" w:hAnsi="David"/>
                <w:szCs w:val="24"/>
                <w:rtl/>
              </w:rPr>
              <w:lastRenderedPageBreak/>
              <w:t>בפועלים, מעשי זדון, אש, ימי גשם מרובים, צווים ממשלתיים או עירוניים, עיכובים מצד הרשויות, עיכובים בקבלת ההיתרים הנדרשים, הוראות כל דין, תביעות משפטיות ו/או התנגדויות ע"י צווי מניעה וזאת בכל שלב משלבי הביצוע של העבודות (להלן: "הנסיבות המוצדקות"), ותחול בשל כך הפרעה או עיכוב בביצוע העבודות, או יחול עיכוב בהשלמת שלב משלבי העבודות ו/או העבודות בכללותן, יידחה המועד לסיום העבודות בתקופת זמן המתחייבת באופן סביר מהנסיבות המוצדקות. עיכוב בהשלמת ביצוע העבודות הנובע מן הנסיבות המוצדקות לא ייחשב כהפרת התחייבות כלשהי של החברה כלפי המנהל ולא יזכה את המנהל בפיצוי ו/או בדמי נזק ו/או בתשלום אחר כלשהו ו/או בסעד אחר כלשהו בגין העיכוב.</w:t>
            </w:r>
          </w:p>
        </w:tc>
        <w:tc>
          <w:tcPr>
            <w:tcW w:w="2390" w:type="dxa"/>
            <w:tcBorders>
              <w:top w:val="nil"/>
              <w:left w:val="single" w:sz="4" w:space="0" w:color="auto"/>
              <w:bottom w:val="single" w:sz="4" w:space="0" w:color="auto"/>
              <w:right w:val="single" w:sz="8"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lastRenderedPageBreak/>
              <w:t>א. לוחות הזמנים והקנסות נועדו לוודא שהזוכה עושה את כל המאמצים לעמוד בלוחות הזמנים שניתנו. מסיבים את תשומת הלב כי לוחות הזמנים שניתנו סבירים וכי הקדמה בזמני אבן דרך מסוימת תיזקף לזכות הזוכה בספירת הזמנים באבני הדרך הבאות. כמו כן צויין בסעיף 10.4 בנספח א'1 - מפרט מקצועי כי המשרד רשאי להאריך את לוחות הזמנים בהתאם לשיקול דעתו הבלעדי.</w:t>
            </w:r>
            <w:r w:rsidRPr="00ED1728">
              <w:rPr>
                <w:rFonts w:ascii="David" w:hAnsi="David"/>
                <w:color w:val="000000"/>
                <w:szCs w:val="24"/>
                <w:rtl/>
              </w:rPr>
              <w:br/>
              <w:t>ב. ראה שינוי בסעיף 10.2.5 בנספח א'1 - מפרט מקצועי.</w:t>
            </w:r>
          </w:p>
        </w:tc>
      </w:tr>
      <w:tr w:rsidR="008D729A" w:rsidRPr="00ED1728" w:rsidTr="008D729A">
        <w:trPr>
          <w:trHeight w:val="56"/>
        </w:trPr>
        <w:tc>
          <w:tcPr>
            <w:tcW w:w="628" w:type="dxa"/>
            <w:tcBorders>
              <w:top w:val="nil"/>
              <w:left w:val="single" w:sz="8"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13</w:t>
            </w:r>
          </w:p>
        </w:tc>
        <w:tc>
          <w:tcPr>
            <w:tcW w:w="1069"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26</w:t>
            </w:r>
          </w:p>
        </w:tc>
        <w:tc>
          <w:tcPr>
            <w:tcW w:w="1307"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20 למפרט המקצועי</w:t>
            </w:r>
          </w:p>
        </w:tc>
        <w:tc>
          <w:tcPr>
            <w:tcW w:w="4111"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rPr>
                <w:rFonts w:ascii="David" w:hAnsi="David"/>
                <w:color w:val="000000"/>
                <w:szCs w:val="24"/>
                <w:rtl/>
              </w:rPr>
            </w:pPr>
            <w:r w:rsidRPr="00ED1728">
              <w:rPr>
                <w:rFonts w:ascii="David" w:hAnsi="David"/>
                <w:color w:val="000000"/>
                <w:szCs w:val="24"/>
                <w:rtl/>
              </w:rPr>
              <w:t xml:space="preserve">נבקש למחוק את סעיף 20.1.2 למפרט כליל ולציין כי כל גביית הפיצויים לפי הנסיבות המנויות בסעיף 20 למפרט תהיה במקרה של הפרת הסכם ע"י הזוכה ובכפוף למתן התראה מראש בת 30 ימי עבודה אודות הפרה כאמור במהלכה הזוכה לא תיקן את ההפרה. </w:t>
            </w:r>
          </w:p>
        </w:tc>
        <w:tc>
          <w:tcPr>
            <w:tcW w:w="2390" w:type="dxa"/>
            <w:tcBorders>
              <w:top w:val="nil"/>
              <w:left w:val="single" w:sz="4" w:space="0" w:color="auto"/>
              <w:bottom w:val="single" w:sz="4" w:space="0" w:color="auto"/>
              <w:right w:val="single" w:sz="8"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אין שינוי במסמכי המכרז</w:t>
            </w:r>
          </w:p>
        </w:tc>
      </w:tr>
      <w:tr w:rsidR="008D729A" w:rsidRPr="00ED1728" w:rsidTr="008D729A">
        <w:trPr>
          <w:trHeight w:val="2371"/>
        </w:trPr>
        <w:tc>
          <w:tcPr>
            <w:tcW w:w="628" w:type="dxa"/>
            <w:tcBorders>
              <w:top w:val="nil"/>
              <w:left w:val="single" w:sz="8"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14</w:t>
            </w:r>
          </w:p>
        </w:tc>
        <w:tc>
          <w:tcPr>
            <w:tcW w:w="1069"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26</w:t>
            </w:r>
          </w:p>
        </w:tc>
        <w:tc>
          <w:tcPr>
            <w:tcW w:w="1307"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20.2.1</w:t>
            </w:r>
          </w:p>
        </w:tc>
        <w:tc>
          <w:tcPr>
            <w:tcW w:w="4111" w:type="dxa"/>
            <w:tcBorders>
              <w:top w:val="nil"/>
              <w:left w:val="single" w:sz="4" w:space="0" w:color="auto"/>
              <w:bottom w:val="single" w:sz="4" w:space="0" w:color="auto"/>
              <w:right w:val="single" w:sz="4" w:space="0" w:color="auto"/>
            </w:tcBorders>
            <w:shd w:val="clear" w:color="auto" w:fill="auto"/>
            <w:vAlign w:val="center"/>
            <w:hideMark/>
          </w:tcPr>
          <w:p w:rsidR="00ED1728" w:rsidRPr="00ED1728" w:rsidRDefault="00ED1728" w:rsidP="00ED1728">
            <w:pPr>
              <w:rPr>
                <w:rFonts w:ascii="David" w:hAnsi="David"/>
                <w:color w:val="000000"/>
                <w:szCs w:val="24"/>
                <w:rtl/>
              </w:rPr>
            </w:pPr>
            <w:r w:rsidRPr="00ED1728">
              <w:rPr>
                <w:rFonts w:ascii="David" w:hAnsi="David"/>
                <w:color w:val="000000"/>
                <w:szCs w:val="24"/>
                <w:rtl/>
              </w:rPr>
              <w:t xml:space="preserve">הפיצויים המוסכמים על פי סעיפי המשנה של סעיף 20.2.1 הם מצטברים, אך ייתכן כי סיבה אחת לעיכוב תגרום לאיחורים על פי מספר סעיפי משנה. נבקש להבהיר שאין לגבות קנס מצטבר ונדרש לוודא כי במידה ויגבו פיצויים מוסכמים על פי אחד מסעיפי המשנה, לא ייגבה פיצוי נוסף בגין אותו אירוע על פי סעיף אחר. </w:t>
            </w:r>
          </w:p>
        </w:tc>
        <w:tc>
          <w:tcPr>
            <w:tcW w:w="2390" w:type="dxa"/>
            <w:tcBorders>
              <w:top w:val="nil"/>
              <w:left w:val="single" w:sz="4" w:space="0" w:color="auto"/>
              <w:bottom w:val="single" w:sz="4" w:space="0" w:color="auto"/>
              <w:right w:val="single" w:sz="8" w:space="0" w:color="auto"/>
            </w:tcBorders>
            <w:shd w:val="clear" w:color="auto" w:fill="auto"/>
            <w:vAlign w:val="center"/>
            <w:hideMark/>
          </w:tcPr>
          <w:p w:rsidR="00ED1728" w:rsidRPr="00ED1728" w:rsidRDefault="00ED1728" w:rsidP="00ED1728">
            <w:pPr>
              <w:jc w:val="center"/>
              <w:rPr>
                <w:rFonts w:ascii="David" w:hAnsi="David"/>
                <w:color w:val="000000"/>
                <w:szCs w:val="24"/>
                <w:rtl/>
              </w:rPr>
            </w:pPr>
            <w:r w:rsidRPr="00ED1728">
              <w:rPr>
                <w:rFonts w:ascii="David" w:hAnsi="David"/>
                <w:color w:val="000000"/>
                <w:szCs w:val="24"/>
                <w:rtl/>
              </w:rPr>
              <w:t>ראה סעיפים 20.2.2 ו-20.2.3 בנספח א'1 - מפרט מקצועי.</w:t>
            </w:r>
            <w:r w:rsidRPr="00ED1728">
              <w:rPr>
                <w:rFonts w:ascii="David" w:hAnsi="David"/>
                <w:color w:val="000000"/>
                <w:szCs w:val="24"/>
                <w:rtl/>
              </w:rPr>
              <w:br/>
              <w:t>20.2.2 - במקרה שהזוכה יחרוג מלוחות הזמנים בשתי אבני דרך או יותר במקביל, המשרד יידרוש פיצוי בגין חריגה אחת, לפי שיעור הפיצוי הגבוה מבין החריגות.</w:t>
            </w:r>
            <w:r w:rsidRPr="00ED1728">
              <w:rPr>
                <w:rFonts w:ascii="David" w:hAnsi="David"/>
                <w:color w:val="000000"/>
                <w:szCs w:val="24"/>
                <w:rtl/>
              </w:rPr>
              <w:br/>
              <w:t>20.2.3. - מובהר כי אי עמידה בלוח הזמנים לאבן דרך עיקרית, לא דוחה את לוח הזמנים הנדרש ביחס לאבני הדרך הבאות. לדוגמא, במידה והזוכה חורג באבני דרך הקבועות בסעיפים 20.2.1.3 עד  20.2.1.5 ישלם הזוכה עבור כל פיגור של שבעה (7) ימי עבודה 30,000 ₪.</w:t>
            </w:r>
          </w:p>
        </w:tc>
      </w:tr>
    </w:tbl>
    <w:p w:rsidR="00ED1728" w:rsidRPr="00ED1728" w:rsidRDefault="00ED1728">
      <w:pPr>
        <w:rPr>
          <w:rtl/>
        </w:rPr>
      </w:pPr>
    </w:p>
    <w:p w:rsidR="00ED1728" w:rsidRDefault="00ED1728">
      <w:pPr>
        <w:rPr>
          <w:rtl/>
        </w:rPr>
      </w:pPr>
    </w:p>
    <w:p w:rsidR="00ED1728" w:rsidRDefault="00ED1728">
      <w:pPr>
        <w:rPr>
          <w:rtl/>
        </w:rPr>
      </w:pPr>
    </w:p>
    <w:p w:rsidR="00ED1728" w:rsidRDefault="00ED1728">
      <w:pPr>
        <w:rPr>
          <w:rtl/>
        </w:rPr>
      </w:pPr>
    </w:p>
    <w:p w:rsidR="00ED1728" w:rsidRDefault="00ED1728">
      <w:pPr>
        <w:rPr>
          <w:rtl/>
        </w:rPr>
      </w:pPr>
    </w:p>
    <w:p w:rsidR="00ED1728" w:rsidRDefault="00ED1728">
      <w:pPr>
        <w:rPr>
          <w:rtl/>
        </w:rPr>
      </w:pPr>
    </w:p>
    <w:p w:rsidR="00ED1728" w:rsidRDefault="00ED1728">
      <w:pPr>
        <w:rPr>
          <w:rtl/>
        </w:rPr>
      </w:pPr>
    </w:p>
    <w:p w:rsidR="00ED1728" w:rsidRDefault="00ED1728">
      <w:pPr>
        <w:rPr>
          <w:rtl/>
        </w:rPr>
      </w:pPr>
    </w:p>
    <w:p w:rsidR="00ED1728" w:rsidRDefault="00ED1728">
      <w:pPr>
        <w:rPr>
          <w:rtl/>
        </w:rPr>
      </w:pPr>
    </w:p>
    <w:p w:rsidR="00ED1728" w:rsidRDefault="00ED1728">
      <w:pPr>
        <w:rPr>
          <w:rtl/>
        </w:rPr>
      </w:pPr>
    </w:p>
    <w:p w:rsidR="00ED1728" w:rsidRDefault="00ED1728">
      <w:pPr>
        <w:rPr>
          <w:rtl/>
        </w:rPr>
      </w:pPr>
    </w:p>
    <w:p w:rsidR="00ED1728" w:rsidRDefault="00ED1728">
      <w:pPr>
        <w:rPr>
          <w:rtl/>
        </w:rPr>
      </w:pPr>
    </w:p>
    <w:p w:rsidR="00ED1728" w:rsidRDefault="00ED1728">
      <w:pPr>
        <w:rPr>
          <w:rtl/>
        </w:rPr>
      </w:pPr>
    </w:p>
    <w:p w:rsidR="00ED1728" w:rsidRDefault="00ED1728">
      <w:pPr>
        <w:rPr>
          <w:rtl/>
        </w:rPr>
      </w:pPr>
    </w:p>
    <w:p w:rsidR="00ED1728" w:rsidRDefault="00ED1728">
      <w:pPr>
        <w:rPr>
          <w:rtl/>
        </w:rPr>
      </w:pPr>
    </w:p>
    <w:p w:rsidR="00ED1728" w:rsidRDefault="00ED1728">
      <w:pPr>
        <w:rPr>
          <w:rtl/>
        </w:rPr>
      </w:pPr>
    </w:p>
    <w:p w:rsidR="00ED1728" w:rsidRDefault="00ED1728">
      <w:pPr>
        <w:rPr>
          <w:rtl/>
        </w:rPr>
      </w:pPr>
    </w:p>
    <w:p w:rsidR="00ED1728" w:rsidRDefault="00ED1728">
      <w:pPr>
        <w:rPr>
          <w:rtl/>
        </w:rPr>
      </w:pPr>
    </w:p>
    <w:p w:rsidR="00ED1728" w:rsidRDefault="00ED1728">
      <w:pPr>
        <w:rPr>
          <w:rtl/>
        </w:rPr>
      </w:pPr>
    </w:p>
    <w:p w:rsidR="00ED1728" w:rsidRDefault="00ED1728">
      <w:pPr>
        <w:rPr>
          <w:rtl/>
        </w:rPr>
      </w:pPr>
    </w:p>
    <w:p w:rsidR="00ED1728" w:rsidRDefault="00ED1728">
      <w:pPr>
        <w:rPr>
          <w:rtl/>
        </w:rPr>
      </w:pPr>
    </w:p>
    <w:p w:rsidR="00ED1728" w:rsidRDefault="00ED1728"/>
    <w:sectPr w:rsidR="00ED1728" w:rsidSect="00D2318E">
      <w:headerReference w:type="default" r:id="rId10"/>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F06EF" w:rsidRDefault="003F06EF">
      <w:r>
        <w:separator/>
      </w:r>
    </w:p>
  </w:endnote>
  <w:endnote w:type="continuationSeparator" w:id="0">
    <w:p w:rsidR="003F06EF" w:rsidRDefault="003F06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1F93" w:rsidRPr="00610303" w:rsidRDefault="008D729A" w:rsidP="004B1F93">
    <w:pPr>
      <w:pBdr>
        <w:top w:val="single" w:sz="6" w:space="1" w:color="auto"/>
      </w:pBdr>
      <w:jc w:val="center"/>
      <w:rPr>
        <w:sz w:val="26"/>
      </w:rPr>
    </w:pPr>
    <w:r w:rsidRPr="000A474B">
      <w:rPr>
        <w:rFonts w:hint="cs"/>
        <w:rtl/>
      </w:rPr>
      <w:t xml:space="preserve">רח' </w:t>
    </w:r>
    <w:r>
      <w:rPr>
        <w:rFonts w:hint="cs"/>
        <w:rtl/>
      </w:rPr>
      <w:t xml:space="preserve">בנק ישראל 7, בניין ג'נרי 2, </w:t>
    </w:r>
    <w:r w:rsidRPr="000A474B">
      <w:rPr>
        <w:rFonts w:hint="cs"/>
        <w:rtl/>
      </w:rPr>
      <w:t xml:space="preserve"> ת.ד. 36148 ירושלים 91</w:t>
    </w:r>
    <w:r>
      <w:rPr>
        <w:rFonts w:hint="cs"/>
        <w:rtl/>
      </w:rPr>
      <w:t>95</w:t>
    </w:r>
    <w:r w:rsidRPr="000A474B">
      <w:rPr>
        <w:rFonts w:hint="cs"/>
        <w:rtl/>
      </w:rPr>
      <w:t>0</w:t>
    </w:r>
    <w:r>
      <w:rPr>
        <w:rFonts w:hint="cs"/>
        <w:rtl/>
      </w:rPr>
      <w:t>21</w:t>
    </w:r>
    <w:r w:rsidRPr="000A474B">
      <w:rPr>
        <w:rFonts w:hint="cs"/>
        <w:rtl/>
      </w:rPr>
      <w:t xml:space="preserve"> טל'</w:t>
    </w:r>
    <w:r>
      <w:rPr>
        <w:rFonts w:hint="cs"/>
        <w:rtl/>
      </w:rPr>
      <w:t>:</w:t>
    </w:r>
    <w:r w:rsidRPr="00524880">
      <w:rPr>
        <w:rFonts w:hint="cs"/>
        <w:rtl/>
      </w:rPr>
      <w:t xml:space="preserve"> </w:t>
    </w:r>
    <w:r>
      <w:rPr>
        <w:rFonts w:hint="cs"/>
        <w:rtl/>
      </w:rPr>
      <w:t>074-7681761</w:t>
    </w:r>
  </w:p>
  <w:p w:rsidR="004B1F93" w:rsidRDefault="008D729A" w:rsidP="004B1F93">
    <w:pPr>
      <w:pBdr>
        <w:top w:val="single" w:sz="6" w:space="1" w:color="auto"/>
      </w:pBdr>
      <w:tabs>
        <w:tab w:val="left" w:pos="1967"/>
        <w:tab w:val="center" w:pos="4748"/>
      </w:tabs>
      <w:jc w:val="center"/>
    </w:pPr>
    <w:r w:rsidRPr="00610303">
      <w:rPr>
        <w:rFonts w:hint="cs"/>
        <w:sz w:val="26"/>
        <w:rtl/>
      </w:rPr>
      <w:t>וא"ל:</w:t>
    </w:r>
    <w:r>
      <w:rPr>
        <w:rFonts w:hint="cs"/>
        <w:sz w:val="26"/>
        <w:rtl/>
      </w:rPr>
      <w:t xml:space="preserve"> </w:t>
    </w:r>
    <w:r w:rsidRPr="00610303">
      <w:rPr>
        <w:rFonts w:hint="cs"/>
        <w:sz w:val="26"/>
        <w:rtl/>
      </w:rPr>
      <w:t xml:space="preserve"> </w:t>
    </w:r>
    <w:r>
      <w:rPr>
        <w:sz w:val="26"/>
      </w:rPr>
      <w:t>ila</w:t>
    </w:r>
    <w:r>
      <w:rPr>
        <w:rFonts w:hint="cs"/>
        <w:sz w:val="26"/>
      </w:rPr>
      <w:t>nb@energy.gov.il</w:t>
    </w:r>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F06EF" w:rsidRDefault="003F06EF">
      <w:r>
        <w:separator/>
      </w:r>
    </w:p>
  </w:footnote>
  <w:footnote w:type="continuationSeparator" w:id="0">
    <w:p w:rsidR="003F06EF" w:rsidRDefault="003F06E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564182170"/>
      <w:docPartObj>
        <w:docPartGallery w:val="Page Numbers (Top of Page)"/>
        <w:docPartUnique/>
      </w:docPartObj>
    </w:sdtPr>
    <w:sdtEndPr/>
    <w:sdtContent>
      <w:p w:rsidR="004B1F93" w:rsidRDefault="008D729A">
        <w:pPr>
          <w:pStyle w:val="a4"/>
          <w:jc w:val="center"/>
          <w:rPr>
            <w:rtl/>
            <w:cs/>
          </w:rPr>
        </w:pPr>
        <w:r>
          <w:fldChar w:fldCharType="begin"/>
        </w:r>
        <w:r>
          <w:rPr>
            <w:rtl/>
            <w:cs/>
          </w:rPr>
          <w:instrText>PAGE   \* MERGEFORMAT</w:instrText>
        </w:r>
        <w:r>
          <w:fldChar w:fldCharType="separate"/>
        </w:r>
        <w:r w:rsidR="00475068" w:rsidRPr="00475068">
          <w:rPr>
            <w:noProof/>
            <w:rtl/>
            <w:lang w:val="he-IL"/>
          </w:rPr>
          <w:t>1</w:t>
        </w:r>
        <w:r>
          <w:fldChar w:fldCharType="end"/>
        </w:r>
      </w:p>
    </w:sdtContent>
  </w:sdt>
  <w:p w:rsidR="004B1F93" w:rsidRDefault="003F06EF" w:rsidP="004B1F93">
    <w:pPr>
      <w:pStyle w:val="a4"/>
      <w:tabs>
        <w:tab w:val="left" w:pos="2447"/>
      </w:tabs>
      <w:spacing w:line="276" w:lineRule="aut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F76D64"/>
    <w:multiLevelType w:val="hybridMultilevel"/>
    <w:tmpl w:val="8182F062"/>
    <w:lvl w:ilvl="0" w:tplc="67580F24">
      <w:start w:val="1"/>
      <w:numFmt w:val="decimal"/>
      <w:lvlText w:val="%1."/>
      <w:lvlJc w:val="left"/>
      <w:pPr>
        <w:ind w:left="720" w:hanging="360"/>
      </w:pPr>
      <w:rPr>
        <w:rFonts w:ascii="David" w:hAnsi="David" w:cs="David" w:hint="default"/>
        <w:sz w:val="26"/>
        <w:szCs w:val="26"/>
        <w:lang w:val="en-US"/>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275C"/>
    <w:rsid w:val="001D2C95"/>
    <w:rsid w:val="003F06EF"/>
    <w:rsid w:val="00475068"/>
    <w:rsid w:val="004E275C"/>
    <w:rsid w:val="006F5DB3"/>
    <w:rsid w:val="008D729A"/>
    <w:rsid w:val="00D2318E"/>
    <w:rsid w:val="00D977BF"/>
    <w:rsid w:val="00E26E19"/>
    <w:rsid w:val="00ED1728"/>
    <w:rsid w:val="00FE42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B9A0280-BBB0-4B0E-B9AC-DFA7E3270E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275C"/>
    <w:pPr>
      <w:bidi/>
      <w:spacing w:after="0" w:line="240" w:lineRule="auto"/>
    </w:pPr>
    <w:rPr>
      <w:rFonts w:ascii="Times New Roman" w:eastAsia="Times New Roman" w:hAnsi="Times New Roman" w:cs="David"/>
      <w:sz w:val="24"/>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E275C"/>
    <w:pPr>
      <w:ind w:left="720"/>
      <w:contextualSpacing/>
    </w:pPr>
  </w:style>
  <w:style w:type="paragraph" w:styleId="a4">
    <w:name w:val="header"/>
    <w:aliases w:val="Header,1 תו,Header תו תו תו תו תו,Header תו תו תו,Header תו תו"/>
    <w:basedOn w:val="a"/>
    <w:link w:val="a5"/>
    <w:uiPriority w:val="99"/>
    <w:unhideWhenUsed/>
    <w:qFormat/>
    <w:rsid w:val="004E275C"/>
    <w:pPr>
      <w:tabs>
        <w:tab w:val="center" w:pos="4153"/>
        <w:tab w:val="right" w:pos="8306"/>
      </w:tabs>
    </w:pPr>
  </w:style>
  <w:style w:type="character" w:customStyle="1" w:styleId="a5">
    <w:name w:val="כותרת עליונה תו"/>
    <w:aliases w:val="Header תו,1 תו תו,Header תו תו תו תו תו תו,Header תו תו תו תו,Header תו תו תו1"/>
    <w:basedOn w:val="a0"/>
    <w:link w:val="a4"/>
    <w:uiPriority w:val="99"/>
    <w:rsid w:val="004E275C"/>
    <w:rPr>
      <w:rFonts w:ascii="Times New Roman" w:eastAsia="Times New Roman" w:hAnsi="Times New Roman" w:cs="David"/>
      <w:sz w:val="24"/>
      <w:szCs w:val="26"/>
    </w:rPr>
  </w:style>
  <w:style w:type="character" w:styleId="Hyperlink">
    <w:name w:val="Hyperlink"/>
    <w:basedOn w:val="a0"/>
    <w:uiPriority w:val="99"/>
    <w:semiHidden/>
    <w:unhideWhenUsed/>
    <w:rsid w:val="004E275C"/>
    <w:rPr>
      <w:color w:val="0563C1"/>
      <w:u w:val="single"/>
    </w:rPr>
  </w:style>
  <w:style w:type="character" w:styleId="FollowedHyperlink">
    <w:name w:val="FollowedHyperlink"/>
    <w:basedOn w:val="a0"/>
    <w:uiPriority w:val="99"/>
    <w:semiHidden/>
    <w:unhideWhenUsed/>
    <w:rsid w:val="004E275C"/>
    <w:rPr>
      <w:color w:val="954F72"/>
      <w:u w:val="single"/>
    </w:rPr>
  </w:style>
  <w:style w:type="paragraph" w:customStyle="1" w:styleId="msonormal0">
    <w:name w:val="msonormal"/>
    <w:basedOn w:val="a"/>
    <w:rsid w:val="004E275C"/>
    <w:pPr>
      <w:bidi w:val="0"/>
      <w:spacing w:before="100" w:beforeAutospacing="1" w:after="100" w:afterAutospacing="1"/>
    </w:pPr>
    <w:rPr>
      <w:rFonts w:cs="Times New Roman"/>
      <w:szCs w:val="24"/>
    </w:rPr>
  </w:style>
  <w:style w:type="paragraph" w:customStyle="1" w:styleId="font5">
    <w:name w:val="font5"/>
    <w:basedOn w:val="a"/>
    <w:rsid w:val="004E275C"/>
    <w:pPr>
      <w:bidi w:val="0"/>
      <w:spacing w:before="100" w:beforeAutospacing="1" w:after="100" w:afterAutospacing="1"/>
    </w:pPr>
    <w:rPr>
      <w:rFonts w:ascii="David" w:hAnsi="David"/>
      <w:b/>
      <w:bCs/>
      <w:color w:val="000000"/>
      <w:szCs w:val="24"/>
      <w:u w:val="single"/>
    </w:rPr>
  </w:style>
  <w:style w:type="paragraph" w:customStyle="1" w:styleId="font6">
    <w:name w:val="font6"/>
    <w:basedOn w:val="a"/>
    <w:rsid w:val="004E275C"/>
    <w:pPr>
      <w:bidi w:val="0"/>
      <w:spacing w:before="100" w:beforeAutospacing="1" w:after="100" w:afterAutospacing="1"/>
    </w:pPr>
    <w:rPr>
      <w:rFonts w:ascii="David" w:hAnsi="David"/>
      <w:color w:val="000000"/>
      <w:szCs w:val="24"/>
    </w:rPr>
  </w:style>
  <w:style w:type="paragraph" w:customStyle="1" w:styleId="font7">
    <w:name w:val="font7"/>
    <w:basedOn w:val="a"/>
    <w:rsid w:val="004E275C"/>
    <w:pPr>
      <w:bidi w:val="0"/>
      <w:spacing w:before="100" w:beforeAutospacing="1" w:after="100" w:afterAutospacing="1"/>
    </w:pPr>
    <w:rPr>
      <w:rFonts w:ascii="David" w:hAnsi="David"/>
      <w:b/>
      <w:bCs/>
      <w:color w:val="000000"/>
      <w:szCs w:val="24"/>
    </w:rPr>
  </w:style>
  <w:style w:type="paragraph" w:customStyle="1" w:styleId="font8">
    <w:name w:val="font8"/>
    <w:basedOn w:val="a"/>
    <w:rsid w:val="004E275C"/>
    <w:pPr>
      <w:bidi w:val="0"/>
      <w:spacing w:before="100" w:beforeAutospacing="1" w:after="100" w:afterAutospacing="1"/>
    </w:pPr>
    <w:rPr>
      <w:rFonts w:cs="Times New Roman"/>
      <w:color w:val="000000"/>
      <w:sz w:val="14"/>
      <w:szCs w:val="14"/>
    </w:rPr>
  </w:style>
  <w:style w:type="paragraph" w:customStyle="1" w:styleId="font9">
    <w:name w:val="font9"/>
    <w:basedOn w:val="a"/>
    <w:rsid w:val="004E275C"/>
    <w:pPr>
      <w:bidi w:val="0"/>
      <w:spacing w:before="100" w:beforeAutospacing="1" w:after="100" w:afterAutospacing="1"/>
    </w:pPr>
    <w:rPr>
      <w:rFonts w:ascii="David" w:hAnsi="David"/>
      <w:color w:val="000000"/>
      <w:szCs w:val="24"/>
      <w:u w:val="single"/>
    </w:rPr>
  </w:style>
  <w:style w:type="paragraph" w:customStyle="1" w:styleId="font10">
    <w:name w:val="font10"/>
    <w:basedOn w:val="a"/>
    <w:rsid w:val="004E275C"/>
    <w:pPr>
      <w:bidi w:val="0"/>
      <w:spacing w:before="100" w:beforeAutospacing="1" w:after="100" w:afterAutospacing="1"/>
    </w:pPr>
    <w:rPr>
      <w:rFonts w:ascii="Calibri" w:hAnsi="Calibri" w:cs="Calibri"/>
      <w:color w:val="000000"/>
      <w:szCs w:val="24"/>
    </w:rPr>
  </w:style>
  <w:style w:type="paragraph" w:customStyle="1" w:styleId="font11">
    <w:name w:val="font11"/>
    <w:basedOn w:val="a"/>
    <w:rsid w:val="004E275C"/>
    <w:pPr>
      <w:bidi w:val="0"/>
      <w:spacing w:before="100" w:beforeAutospacing="1" w:after="100" w:afterAutospacing="1"/>
    </w:pPr>
    <w:rPr>
      <w:rFonts w:ascii="David" w:hAnsi="David"/>
      <w:color w:val="FF0000"/>
      <w:szCs w:val="24"/>
    </w:rPr>
  </w:style>
  <w:style w:type="paragraph" w:customStyle="1" w:styleId="font12">
    <w:name w:val="font12"/>
    <w:basedOn w:val="a"/>
    <w:rsid w:val="004E275C"/>
    <w:pPr>
      <w:bidi w:val="0"/>
      <w:spacing w:before="100" w:beforeAutospacing="1" w:after="100" w:afterAutospacing="1"/>
    </w:pPr>
    <w:rPr>
      <w:rFonts w:ascii="David" w:hAnsi="David"/>
      <w:b/>
      <w:bCs/>
      <w:color w:val="FF0000"/>
      <w:szCs w:val="24"/>
      <w:u w:val="single"/>
    </w:rPr>
  </w:style>
  <w:style w:type="paragraph" w:customStyle="1" w:styleId="font13">
    <w:name w:val="font13"/>
    <w:basedOn w:val="a"/>
    <w:rsid w:val="004E275C"/>
    <w:pPr>
      <w:bidi w:val="0"/>
      <w:spacing w:before="100" w:beforeAutospacing="1" w:after="100" w:afterAutospacing="1"/>
    </w:pPr>
    <w:rPr>
      <w:rFonts w:ascii="David" w:hAnsi="David"/>
      <w:b/>
      <w:bCs/>
      <w:color w:val="FF0000"/>
      <w:szCs w:val="24"/>
    </w:rPr>
  </w:style>
  <w:style w:type="paragraph" w:customStyle="1" w:styleId="font14">
    <w:name w:val="font14"/>
    <w:basedOn w:val="a"/>
    <w:rsid w:val="004E275C"/>
    <w:pPr>
      <w:bidi w:val="0"/>
      <w:spacing w:before="100" w:beforeAutospacing="1" w:after="100" w:afterAutospacing="1"/>
    </w:pPr>
    <w:rPr>
      <w:rFonts w:ascii="David" w:hAnsi="David"/>
      <w:color w:val="0070C0"/>
      <w:szCs w:val="24"/>
    </w:rPr>
  </w:style>
  <w:style w:type="paragraph" w:customStyle="1" w:styleId="xl65">
    <w:name w:val="xl65"/>
    <w:basedOn w:val="a"/>
    <w:rsid w:val="004E275C"/>
    <w:pPr>
      <w:bidi w:val="0"/>
      <w:spacing w:before="100" w:beforeAutospacing="1" w:after="100" w:afterAutospacing="1"/>
      <w:jc w:val="center"/>
      <w:textAlignment w:val="center"/>
    </w:pPr>
    <w:rPr>
      <w:rFonts w:cs="Times New Roman"/>
      <w:szCs w:val="24"/>
    </w:rPr>
  </w:style>
  <w:style w:type="paragraph" w:customStyle="1" w:styleId="xl66">
    <w:name w:val="xl66"/>
    <w:basedOn w:val="a"/>
    <w:rsid w:val="004E275C"/>
    <w:pPr>
      <w:bidi w:val="0"/>
      <w:spacing w:before="100" w:beforeAutospacing="1" w:after="100" w:afterAutospacing="1"/>
      <w:jc w:val="center"/>
      <w:textAlignment w:val="center"/>
    </w:pPr>
    <w:rPr>
      <w:rFonts w:cs="Times New Roman"/>
      <w:szCs w:val="24"/>
    </w:rPr>
  </w:style>
  <w:style w:type="paragraph" w:customStyle="1" w:styleId="xl67">
    <w:name w:val="xl67"/>
    <w:basedOn w:val="a"/>
    <w:rsid w:val="004E275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David" w:hAnsi="David"/>
      <w:szCs w:val="24"/>
    </w:rPr>
  </w:style>
  <w:style w:type="paragraph" w:customStyle="1" w:styleId="xl68">
    <w:name w:val="xl68"/>
    <w:basedOn w:val="a"/>
    <w:rsid w:val="004E275C"/>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David" w:hAnsi="David"/>
      <w:szCs w:val="24"/>
    </w:rPr>
  </w:style>
  <w:style w:type="paragraph" w:customStyle="1" w:styleId="xl69">
    <w:name w:val="xl69"/>
    <w:basedOn w:val="a"/>
    <w:rsid w:val="004E275C"/>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David" w:hAnsi="David"/>
      <w:szCs w:val="24"/>
    </w:rPr>
  </w:style>
  <w:style w:type="paragraph" w:customStyle="1" w:styleId="xl70">
    <w:name w:val="xl70"/>
    <w:basedOn w:val="a"/>
    <w:rsid w:val="004E275C"/>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David" w:hAnsi="David"/>
      <w:szCs w:val="24"/>
    </w:rPr>
  </w:style>
  <w:style w:type="paragraph" w:customStyle="1" w:styleId="xl71">
    <w:name w:val="xl71"/>
    <w:basedOn w:val="a"/>
    <w:rsid w:val="004E275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David" w:hAnsi="David"/>
      <w:color w:val="000000"/>
      <w:szCs w:val="24"/>
    </w:rPr>
  </w:style>
  <w:style w:type="paragraph" w:customStyle="1" w:styleId="xl72">
    <w:name w:val="xl72"/>
    <w:basedOn w:val="a"/>
    <w:rsid w:val="004E275C"/>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David" w:hAnsi="David"/>
      <w:color w:val="FF0000"/>
      <w:szCs w:val="24"/>
    </w:rPr>
  </w:style>
  <w:style w:type="paragraph" w:customStyle="1" w:styleId="xl73">
    <w:name w:val="xl73"/>
    <w:basedOn w:val="a"/>
    <w:rsid w:val="004E275C"/>
    <w:pPr>
      <w:pBdr>
        <w:top w:val="single" w:sz="8" w:space="0" w:color="auto"/>
        <w:left w:val="single" w:sz="4"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David" w:hAnsi="David"/>
      <w:b/>
      <w:bCs/>
      <w:color w:val="000000"/>
      <w:sz w:val="28"/>
      <w:szCs w:val="28"/>
    </w:rPr>
  </w:style>
  <w:style w:type="paragraph" w:customStyle="1" w:styleId="xl74">
    <w:name w:val="xl74"/>
    <w:basedOn w:val="a"/>
    <w:rsid w:val="004E275C"/>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rFonts w:ascii="David" w:hAnsi="David"/>
      <w:b/>
      <w:bCs/>
      <w:color w:val="000000"/>
      <w:sz w:val="28"/>
      <w:szCs w:val="28"/>
    </w:rPr>
  </w:style>
  <w:style w:type="paragraph" w:customStyle="1" w:styleId="xl75">
    <w:name w:val="xl75"/>
    <w:basedOn w:val="a"/>
    <w:rsid w:val="004E275C"/>
    <w:pPr>
      <w:pBdr>
        <w:top w:val="single" w:sz="8" w:space="0" w:color="auto"/>
        <w:left w:val="single" w:sz="8"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rFonts w:ascii="David" w:hAnsi="David"/>
      <w:b/>
      <w:bCs/>
      <w:color w:val="000000"/>
      <w:sz w:val="28"/>
      <w:szCs w:val="28"/>
    </w:rPr>
  </w:style>
  <w:style w:type="paragraph" w:customStyle="1" w:styleId="xl76">
    <w:name w:val="xl76"/>
    <w:basedOn w:val="a"/>
    <w:rsid w:val="004E275C"/>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David" w:hAnsi="David"/>
      <w:szCs w:val="24"/>
    </w:rPr>
  </w:style>
  <w:style w:type="paragraph" w:customStyle="1" w:styleId="xl77">
    <w:name w:val="xl77"/>
    <w:basedOn w:val="a"/>
    <w:rsid w:val="004E275C"/>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David" w:hAnsi="David"/>
      <w:szCs w:val="24"/>
    </w:rPr>
  </w:style>
  <w:style w:type="paragraph" w:customStyle="1" w:styleId="xl78">
    <w:name w:val="xl78"/>
    <w:basedOn w:val="a"/>
    <w:rsid w:val="004E275C"/>
    <w:pPr>
      <w:pBdr>
        <w:top w:val="single" w:sz="4"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David" w:hAnsi="David"/>
      <w:color w:val="FF0000"/>
      <w:szCs w:val="24"/>
    </w:rPr>
  </w:style>
  <w:style w:type="paragraph" w:styleId="a6">
    <w:name w:val="footer"/>
    <w:basedOn w:val="a"/>
    <w:link w:val="a7"/>
    <w:uiPriority w:val="99"/>
    <w:unhideWhenUsed/>
    <w:rsid w:val="004E275C"/>
    <w:pPr>
      <w:tabs>
        <w:tab w:val="center" w:pos="4153"/>
        <w:tab w:val="right" w:pos="8306"/>
      </w:tabs>
    </w:pPr>
  </w:style>
  <w:style w:type="character" w:customStyle="1" w:styleId="a7">
    <w:name w:val="כותרת תחתונה תו"/>
    <w:basedOn w:val="a0"/>
    <w:link w:val="a6"/>
    <w:uiPriority w:val="99"/>
    <w:rsid w:val="004E275C"/>
    <w:rPr>
      <w:rFonts w:ascii="Times New Roman" w:eastAsia="Times New Roman" w:hAnsi="Times New Roman"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5618539">
      <w:bodyDiv w:val="1"/>
      <w:marLeft w:val="0"/>
      <w:marRight w:val="0"/>
      <w:marTop w:val="0"/>
      <w:marBottom w:val="0"/>
      <w:divBdr>
        <w:top w:val="none" w:sz="0" w:space="0" w:color="auto"/>
        <w:left w:val="none" w:sz="0" w:space="0" w:color="auto"/>
        <w:bottom w:val="none" w:sz="0" w:space="0" w:color="auto"/>
        <w:right w:val="none" w:sz="0" w:space="0" w:color="auto"/>
      </w:divBdr>
    </w:div>
    <w:div w:id="1279413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9DF8A8F3C02DF04C832E355A8BA0A104" ma:contentTypeVersion="8" ma:contentTypeDescription="צור מסמך חדש." ma:contentTypeScope="" ma:versionID="ad8d7a9ea2038f018aee7bc5ab3d12a5">
  <xsd:schema xmlns:xsd="http://www.w3.org/2001/XMLSchema" xmlns:xs="http://www.w3.org/2001/XMLSchema" xmlns:p="http://schemas.microsoft.com/office/2006/metadata/properties" xmlns:ns2="023adee4-158f-4dda-9326-adf95a09fb0b" xmlns:ns3="679e65a3-f641-43c5-96dd-4c0a27e1aa8c" targetNamespace="http://schemas.microsoft.com/office/2006/metadata/properties" ma:root="true" ma:fieldsID="1e729dd5485142b23e5d17b1a9bd62dc" ns2:_="" ns3:_="">
    <xsd:import namespace="023adee4-158f-4dda-9326-adf95a09fb0b"/>
    <xsd:import namespace="679e65a3-f641-43c5-96dd-4c0a27e1aa8c"/>
    <xsd:element name="properties">
      <xsd:complexType>
        <xsd:sequence>
          <xsd:element name="documentManagement">
            <xsd:complexType>
              <xsd:all>
                <xsd:element ref="ns2:numberRequest" minOccurs="0"/>
                <xsd:element ref="ns2:contact" minOccurs="0"/>
                <xsd:element ref="ns3: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3adee4-158f-4dda-9326-adf95a09fb0b" elementFormDefault="qualified">
    <xsd:import namespace="http://schemas.microsoft.com/office/2006/documentManagement/types"/>
    <xsd:import namespace="http://schemas.microsoft.com/office/infopath/2007/PartnerControls"/>
    <xsd:element name="numberRequest" ma:index="8" nillable="true" ma:displayName="מספר בקשה" ma:internalName="numberRequest">
      <xsd:simpleType>
        <xsd:restriction base="dms:Text">
          <xsd:maxLength value="255"/>
        </xsd:restriction>
      </xsd:simpleType>
    </xsd:element>
    <xsd:element name="contact" ma:index="9" nillable="true" ma:displayName="איש קשר" ma:internalName="contact">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79e65a3-f641-43c5-96dd-4c0a27e1aa8c" elementFormDefault="qualified">
    <xsd:import namespace="http://schemas.microsoft.com/office/2006/documentManagement/types"/>
    <xsd:import namespace="http://schemas.microsoft.com/office/infopath/2007/PartnerControls"/>
    <xsd:element name="docType" ma:index="11" nillable="true" ma:displayName="סוג מסמך" ma:default="צרופה" ma:format="Dropdown" ma:internalName="docType">
      <xsd:simpleType>
        <xsd:restriction base="dms:Choice">
          <xsd:enumeration value="צרופה"/>
          <xsd:enumeration value="אישור יועץ ביטוחי"/>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numberRequest xmlns="023adee4-158f-4dda-9326-adf95a09fb0b">317/2020</numberRequest>
    <contact xmlns="023adee4-158f-4dda-9326-adf95a09fb0b" xsi:nil="true"/>
    <docType xmlns="679e65a3-f641-43c5-96dd-4c0a27e1aa8c">צרופה</docType>
  </documentManagement>
</p:properties>
</file>

<file path=customXml/itemProps1.xml><?xml version="1.0" encoding="utf-8"?>
<ds:datastoreItem xmlns:ds="http://schemas.openxmlformats.org/officeDocument/2006/customXml" ds:itemID="{FE34C4B2-AB73-4186-B50A-687B63CE49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3adee4-158f-4dda-9326-adf95a09fb0b"/>
    <ds:schemaRef ds:uri="679e65a3-f641-43c5-96dd-4c0a27e1aa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DD51CA9-207F-4CE4-B82E-FE3389DDAE2A}">
  <ds:schemaRefs>
    <ds:schemaRef ds:uri="http://schemas.microsoft.com/sharepoint/v3/contenttype/forms"/>
  </ds:schemaRefs>
</ds:datastoreItem>
</file>

<file path=customXml/itemProps3.xml><?xml version="1.0" encoding="utf-8"?>
<ds:datastoreItem xmlns:ds="http://schemas.openxmlformats.org/officeDocument/2006/customXml" ds:itemID="{585E723E-9341-4D7A-A1E9-5262034CC71F}">
  <ds:schemaRefs>
    <ds:schemaRef ds:uri="http://schemas.microsoft.com/office/2006/metadata/properties"/>
    <ds:schemaRef ds:uri="http://schemas.microsoft.com/office/infopath/2007/PartnerControls"/>
    <ds:schemaRef ds:uri="023adee4-158f-4dda-9326-adf95a09fb0b"/>
    <ds:schemaRef ds:uri="679e65a3-f641-43c5-96dd-4c0a27e1aa8c"/>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1966</Words>
  <Characters>9834</Characters>
  <Application>Microsoft Office Word</Application>
  <DocSecurity>0</DocSecurity>
  <Lines>81</Lines>
  <Paragraphs>23</Paragraphs>
  <ScaleCrop>false</ScaleCrop>
  <HeadingPairs>
    <vt:vector size="2" baseType="variant">
      <vt:variant>
        <vt:lpstr>שם</vt:lpstr>
      </vt:variant>
      <vt:variant>
        <vt:i4>1</vt:i4>
      </vt:variant>
    </vt:vector>
  </HeadingPairs>
  <TitlesOfParts>
    <vt:vector size="1" baseType="lpstr">
      <vt:lpstr/>
    </vt:vector>
  </TitlesOfParts>
  <Company>Microsoft</Company>
  <LinksUpToDate>false</LinksUpToDate>
  <CharactersWithSpaces>11777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אילן בכר</dc:creator>
  <cp:keywords/>
  <dc:description/>
  <cp:lastModifiedBy>אילנה טמסוט</cp:lastModifiedBy>
  <cp:revision>2</cp:revision>
  <dcterms:created xsi:type="dcterms:W3CDTF">2020-07-02T12:30:00Z</dcterms:created>
  <dcterms:modified xsi:type="dcterms:W3CDTF">2020-07-02T12:30:00Z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0x0101009DF8A8F3C02DF04C832E355A8BA0A104</vt:lpwstr>
  </property>
</Properties>
</file>